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2023-247</w:t>
      </w:r>
    </w:p>
    <w:p>
      <w:r>
        <w:rPr>
          <w:b/>
        </w:rPr>
        <w:t xml:space="preserve">Proposal Title: </w:t>
      </w:r>
      <w:r>
        <w:t>Protecting Minnesota's Headwaters of the Mississippi/Pineland Sands</w:t>
      </w:r>
    </w:p>
    <w:p/>
    <w:p>
      <w:pPr>
        <w:pStyle w:val="Heading2"/>
        <w:spacing w:before="0" w:after="80"/>
      </w:pPr>
      <w:r>
        <w:rPr>
          <w:b/>
          <w:color w:val="2C559C"/>
          <w:sz w:val="28"/>
        </w:rPr>
        <w:t>Project Manager Information</w:t>
      </w:r>
    </w:p>
    <w:p>
      <w:r>
        <w:rPr>
          <w:b/>
        </w:rPr>
        <w:t xml:space="preserve">Name: </w:t>
      </w:r>
      <w:r>
        <w:t>Jamie Konopacky</w:t>
      </w:r>
    </w:p>
    <w:p>
      <w:r>
        <w:rPr>
          <w:b/>
        </w:rPr>
        <w:t xml:space="preserve">Organization: </w:t>
      </w:r>
      <w:r>
        <w:t>Anishinaabe Agriculture Institute</w:t>
      </w:r>
    </w:p>
    <w:p>
      <w:r>
        <w:rPr>
          <w:b/>
        </w:rPr>
        <w:t xml:space="preserve">Office Telephone: </w:t>
      </w:r>
      <w:r>
        <w:t>(608) 630-0166</w:t>
      </w:r>
    </w:p>
    <w:p>
      <w:r>
        <w:rPr>
          <w:b/>
        </w:rPr>
        <w:t xml:space="preserve">Email: </w:t>
      </w:r>
      <w:r>
        <w:t>jamie.konopacky@honorearth.org</w:t>
      </w:r>
    </w:p>
    <w:p/>
    <w:p>
      <w:pPr>
        <w:pStyle w:val="Heading2"/>
        <w:spacing w:before="0" w:after="80"/>
      </w:pPr>
      <w:r>
        <w:rPr>
          <w:b/>
          <w:color w:val="2C559C"/>
          <w:sz w:val="28"/>
        </w:rPr>
        <w:t>Project Basic Information</w:t>
      </w:r>
    </w:p>
    <w:p>
      <w:r>
        <w:rPr>
          <w:b/>
        </w:rPr>
        <w:t xml:space="preserve">Project Summary: </w:t>
      </w:r>
      <w:r>
        <w:t>Enormous growth in irrigated agriculture in Minnesota’s Mississippi Headwaters/Central Sands has occurred without assessment of water resource impacts. This project will assess aggregate irrigation water quality and quantity impacts.</w:t>
      </w:r>
    </w:p>
    <w:p>
      <w:r>
        <w:rPr>
          <w:b/>
        </w:rPr>
        <w:t xml:space="preserve">Funds Requested: </w:t>
      </w:r>
      <w:r>
        <w:t>$1,769,000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has seen enormous growth in irrigated agriculture in its Central Sands region, with little attention paid to aggregate water quality and quantity impacts to groundwater and surface water. In part, aggregate impacts to water resources have not been addressed because of the region’s complex hydrogeology consisting of sandy topsoils covering many layers of larger and smaller semi-confined and connected aquifers. The lack of hydrogeologic data and modeling has presented a problem for years, but the risk turned into crisis during the 2021 summer drought when indigenous and local communities watched water levels drop by feet in a matter of weeks, and the Department of Natural Resources experienced an influx of private well interference complaints. This project aims to shed new scientific light on aggregate impacts from irrigated agriculture in Minnesota’s Central Sands. Through additional water monitoring and model construction, the project will demonstrate current and projected future water quantity and quality impacts. Project information will be used to protect hunting, fishing and gathering treaty rights, recreational water uses and agricultural uses for current and future generations. The scientific data will provide key information for diverse water users to unite in water use, restoration and protection efforts.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Project leaders will start by gathering substantial additional surface and groundwater data in Minnesota’s Central Sands region. They will then proceed to use existing and newly gathered ground and surface water data to build a coupled Surface Water Assessment Tool (SWAT) and Modular three-dimensional finite-difference ground-water flow (MODFLOW) model. This predictive model will be the first of its kind to utilize updated information and modeling software to accurately capture and predict water quantity and quality impacts for Minnesota’s Central Sands region. The project will also build on County Geologic Atlases developed with generous funding from the Legislative-Citizen Commission on Minnesota Resources. Project work will stitch together previously developed county-by-county geologic atlas maps and bring them to life through animated modeling. Project monitoring and modeling will show the impact of long-term changes in human groundwater consumption in the critical Central Sands region including patterns and pathways of water and chemical flow and solute/chemical loading to surface and groundwater resources. The calibrated regional model will also make possible future scenario-based simulations that can analyze the impact of proposed pumping and severe weather events on smaller water resource areas within the larger Pineland Sands region.</w:t>
      </w:r>
    </w:p>
    <w:p>
      <w:pPr>
        <w:spacing w:after="60"/>
      </w:pPr>
      <w:r>
        <w:rPr>
          <w:b/>
        </w:rPr>
        <w:t xml:space="preserve">What are the specific project outcomes as they relate to the public purpose of protection, conservation, preservation, and enhancement of the state’s natural resources? </w:t>
      </w:r>
    </w:p>
    <w:p>
      <w:r>
        <w:t>1.     Gather critical ground and surface water data in the Pineland Sands region</w:t>
        <w:br/>
        <w:br/>
        <w:t xml:space="preserve">2.     Complete an integrated ground and surface water model </w:t>
        <w:br/>
        <w:br/>
        <w:t xml:space="preserve">3.     Analyze monitoring data and modeling outputs </w:t>
        <w:br/>
        <w:br/>
        <w:t>4.     Share monitoring data and modeling outputs with the Department of Natural Resources and Pollution Control Agency for use in irrigation permitting and impaired waters evaluation</w:t>
        <w:br/>
        <w:br/>
        <w:t>5.     Provide a public white paper outlining scientific assessment and identifying opportunities to promote protection of treaty rights, recreational water uses and sustainable agriculture</w:t>
        <w:br/>
        <w:br/>
        <w:t>6.     Educate and engage native and nonnative local communities regarding water data as well as shared water restoration and protection opportunities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Data gathering, modeling and community education and engagement</w:t>
      </w:r>
    </w:p>
    <w:p>
      <w:r>
        <w:rPr>
          <w:b/>
        </w:rPr>
        <w:t xml:space="preserve">Activity Budget: </w:t>
      </w:r>
      <w:r>
        <w:t>$1,226,000</w:t>
      </w:r>
    </w:p>
    <w:p>
      <w:r>
        <w:rPr>
          <w:b/>
        </w:rPr>
        <w:t xml:space="preserve">Activity Description: </w:t>
        <w:br/>
      </w:r>
      <w:r>
        <w:t>See included map of surface water monitoring sites and model boundary. Project technicians will gather flow, stage and chemical samples from 10-15 river sites and install and monitor six nested groundwater wells on two agricultural sites. Modelers will use newly gathered ground and surface water data, climate data, stratigraphic data from Minnesota County Geologic Atlases and existing well information to build and calibrate a regional, integrated ground and surface water model. Modelers will run scenarios assessing changes in ground and surface water quantity, patterns and pathways of water and chemical flow and solute/chemical loading to surface and groundwater resources.</w:t>
        <w:br/>
        <w:br/>
        <w:t>Project leaders will work with native and non-native experts and community members to assess land changes over time and perceived impacts to water quantity and quality. Project leaders will engage native experts in gathering river and well data and share the same with native and non-native government officials, community members and farmers. Lastly, project leaders will begin conducting analysis of current policies and permitting framework and working with community members and experts to analyze opportunities to better protect resources for current and future generations.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equipment, gather data, inform modeling</w:t>
            </w:r>
          </w:p>
        </w:tc>
        <w:tc>
          <w:tcPr>
            <w:tcW w:type="dxa" w:w="2160"/>
          </w:tcPr>
          <w:p>
            <w:pPr>
              <w:jc w:val="right"/>
            </w:pPr>
            <w:r>
              <w:rPr>
                <w:sz w:val="20"/>
              </w:rPr>
              <w:t>November 30, 2025</w:t>
            </w:r>
          </w:p>
        </w:tc>
      </w:tr>
    </w:tbl>
    <w:p/>
    <w:p>
      <w:pPr>
        <w:pStyle w:val="Heading3"/>
        <w:spacing w:after="60"/>
      </w:pPr>
      <w:r>
        <w:rPr>
          <w:b/>
          <w:color w:val="254885"/>
          <w:sz w:val="26"/>
        </w:rPr>
        <w:t>Activity 2: Public white paper; sharing of data and analysis</w:t>
      </w:r>
    </w:p>
    <w:p>
      <w:r>
        <w:rPr>
          <w:b/>
        </w:rPr>
        <w:t xml:space="preserve">Activity Budget: </w:t>
      </w:r>
      <w:r>
        <w:t>$543,000</w:t>
      </w:r>
    </w:p>
    <w:p>
      <w:r>
        <w:rPr>
          <w:b/>
        </w:rPr>
        <w:t xml:space="preserve">Activity Description: </w:t>
        <w:br/>
      </w:r>
      <w:r>
        <w:t>After data is collected and model outputs are available, project scientists and policy leaders will review scientific and policy assessments and compile a publicly available white paper as well as briefings for native and non-native government natural resource agencies. White papers and agency briefings will identify opportunities to promote protection of treaty rights, recreational water uses and sustainable agriculture. White paper findings incorporating upfront community engagement will be shared with community members and further input on opportunities for strengthening local water resource protection will be gathered.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analysis, interpretation written and oral communications and final products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Frank Bibeau</w:t>
            </w:r>
          </w:p>
        </w:tc>
        <w:tc>
          <w:tcPr>
            <w:tcW w:type="dxa" w:w="1440"/>
          </w:tcPr>
          <w:p>
            <w:r>
              <w:rPr>
                <w:sz w:val="20"/>
              </w:rPr>
              <w:t>1855 Treaty Authority</w:t>
            </w:r>
          </w:p>
        </w:tc>
        <w:tc>
          <w:tcPr>
            <w:tcW w:type="dxa" w:w="6840"/>
          </w:tcPr>
          <w:p>
            <w:r>
              <w:rPr>
                <w:sz w:val="20"/>
              </w:rPr>
              <w:t>Expert on Treaty Rights and Indian Law</w:t>
            </w:r>
          </w:p>
        </w:tc>
        <w:tc>
          <w:tcPr>
            <w:tcW w:type="dxa" w:w="1080"/>
          </w:tcPr>
          <w:p>
            <w:r>
              <w:rPr>
                <w:sz w:val="20"/>
              </w:rPr>
              <w:t>No</w:t>
            </w:r>
          </w:p>
        </w:tc>
      </w:tr>
      <w:tr>
        <w:tc>
          <w:tcPr>
            <w:tcW w:type="dxa" w:w="1440"/>
          </w:tcPr>
          <w:p>
            <w:r>
              <w:rPr>
                <w:sz w:val="20"/>
              </w:rPr>
              <w:t>Michael Fairbanks / no funding</w:t>
            </w:r>
          </w:p>
        </w:tc>
        <w:tc>
          <w:tcPr>
            <w:tcW w:type="dxa" w:w="1440"/>
          </w:tcPr>
          <w:p>
            <w:r>
              <w:rPr>
                <w:sz w:val="20"/>
              </w:rPr>
              <w:t>White Earth Nation</w:t>
            </w:r>
          </w:p>
        </w:tc>
        <w:tc>
          <w:tcPr>
            <w:tcW w:type="dxa" w:w="6840"/>
          </w:tcPr>
          <w:p>
            <w:r>
              <w:rPr>
                <w:sz w:val="20"/>
              </w:rPr>
              <w:t>Tribal Chairman and director of tribal natural resources department</w:t>
            </w:r>
          </w:p>
        </w:tc>
        <w:tc>
          <w:tcPr>
            <w:tcW w:type="dxa" w:w="1080"/>
          </w:tcPr>
          <w:p>
            <w:r>
              <w:rPr>
                <w:sz w:val="20"/>
              </w:rPr>
              <w:t>No</w:t>
            </w:r>
          </w:p>
        </w:tc>
      </w:tr>
      <w:tr>
        <w:tc>
          <w:tcPr>
            <w:tcW w:type="dxa" w:w="1440"/>
          </w:tcPr>
          <w:p>
            <w:r>
              <w:rPr>
                <w:sz w:val="20"/>
              </w:rPr>
              <w:t>Professor John Nieber, P.H., P.E., Ph.D</w:t>
            </w:r>
          </w:p>
        </w:tc>
        <w:tc>
          <w:tcPr>
            <w:tcW w:type="dxa" w:w="1440"/>
          </w:tcPr>
          <w:p>
            <w:r>
              <w:rPr>
                <w:sz w:val="20"/>
              </w:rPr>
              <w:t>Department of Bioproducts and Biosystems Engineering, University of Minnesota</w:t>
            </w:r>
          </w:p>
        </w:tc>
        <w:tc>
          <w:tcPr>
            <w:tcW w:type="dxa" w:w="6840"/>
          </w:tcPr>
          <w:p>
            <w:r>
              <w:rPr>
                <w:sz w:val="20"/>
              </w:rPr>
              <w:t>Provide advice on modeling of groundwater and surface water to supported graduate students</w:t>
            </w:r>
          </w:p>
        </w:tc>
        <w:tc>
          <w:tcPr>
            <w:tcW w:type="dxa" w:w="1080"/>
          </w:tcPr>
          <w:p>
            <w:r>
              <w:rPr>
                <w:sz w:val="20"/>
              </w:rPr>
              <w:t>No</w:t>
            </w:r>
          </w:p>
        </w:tc>
      </w:tr>
      <w:tr>
        <w:tc>
          <w:tcPr>
            <w:tcW w:type="dxa" w:w="1440"/>
          </w:tcPr>
          <w:p>
            <w:r>
              <w:rPr>
                <w:sz w:val="20"/>
              </w:rPr>
              <w:t>Research Professor, Joe Magner</w:t>
            </w:r>
          </w:p>
        </w:tc>
        <w:tc>
          <w:tcPr>
            <w:tcW w:type="dxa" w:w="1440"/>
          </w:tcPr>
          <w:p>
            <w:r>
              <w:rPr>
                <w:sz w:val="20"/>
              </w:rPr>
              <w:t>Department of Bioproducts &amp; Biosystems Engineering. University of Minnesota</w:t>
            </w:r>
          </w:p>
        </w:tc>
        <w:tc>
          <w:tcPr>
            <w:tcW w:type="dxa" w:w="6840"/>
          </w:tcPr>
          <w:p>
            <w:r>
              <w:rPr>
                <w:sz w:val="20"/>
              </w:rPr>
              <w:t>Provide advice to field technicians and to graduate students on the setup of data acquisition systems and provide advice on the analysis of the data acquired during the project period.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Once data and modeling outputs are made publicly available and shared with native and non-native government officials, they can be integrated into existing permitting policies/assessments, proposed policy reforms and future scientific research as needed. The model will also be available for use in more localized scenarios to better predict impacts to individual water resource areas within the larger Pineland Sands region.</w:t>
      </w:r>
    </w:p>
    <w:p>
      <w:pPr>
        <w:pStyle w:val="Heading2"/>
        <w:spacing w:before="0" w:after="80"/>
      </w:pPr>
      <w:r>
        <w:rPr>
          <w:b/>
          <w:color w:val="2C559C"/>
          <w:sz w:val="28"/>
        </w:rPr>
        <w:t>Project Manager and Organization Qualifications</w:t>
      </w:r>
    </w:p>
    <w:p>
      <w:r>
        <w:rPr>
          <w:b/>
        </w:rPr>
        <w:t xml:space="preserve">Project Manager Name: </w:t>
      </w:r>
      <w:r>
        <w:t>Jamie Konopacky</w:t>
      </w:r>
    </w:p>
    <w:p>
      <w:r>
        <w:rPr>
          <w:b/>
        </w:rPr>
        <w:t xml:space="preserve">Job Title: </w:t>
      </w:r>
      <w:r>
        <w:t>Environmental Counsel</w:t>
      </w:r>
    </w:p>
    <w:p>
      <w:r>
        <w:rPr>
          <w:b/>
        </w:rPr>
        <w:t xml:space="preserve">Provide description of the project manager’s qualifications to manage the proposed project. </w:t>
        <w:br/>
      </w:r>
      <w:r>
        <w:t>Ms. Konopacky brings a decade of experience in developing and managing interdisciplinary projects focused on agriculture, water quality and water quantity. She has published, lectured and led projects on agriculture and water quality and quantity challenges throughout the Midwest.  Ms. Konopacky has experience working with federal and state agencies, Minnesota Department of Natural Resources, Minnesota Pollution Control Agency, Anishinaabe Tribal governments and natural resource departments and scientists on complex challenges at the intersection of agriculture and water resources. Recently, Ms. Konopacky has been working with Professors John Nieber and Joe Magner at the University of Minnesota Institute on Environment (I on E) as well as PhD candidates that will be carrying out project modeling and field work through programs with the I on E. Ms. Konopacky will play a critical role in connecting tribal community members and governments to project scientific data gathering and modeling through strong partnerships with the Anishinaabe Agriculture Institute and will also lead government liaison and public reporting elements of the project that focus on incorporating data and modeling results into policy analyses. While her broad experience across the Midwest and at the federal level bring important context and alternative perspectives to the project, Ms. Konopacky has also focused extensively on the specific agriculture, water quality, water quantity and treaty rights challenges in Minnesota’s Pineland Sands for several years. She stands ready to do the critical work of engaging diverse experts, scientists, state agencies and local communities on a project that will begin to holistically and scientifically address resource challenges in this critical part of Minnesota.</w:t>
      </w:r>
    </w:p>
    <w:p>
      <w:r>
        <w:rPr>
          <w:b/>
        </w:rPr>
        <w:t xml:space="preserve">Organization: </w:t>
      </w:r>
      <w:r>
        <w:t>Anishinaabe Agriculture Institute</w:t>
      </w:r>
    </w:p>
    <w:p>
      <w:r>
        <w:rPr>
          <w:b/>
        </w:rPr>
        <w:t xml:space="preserve">Organization Description: </w:t>
        <w:br/>
      </w:r>
      <w:r>
        <w:t>Anishinaabe Agriculture Institute (AAI) is a native-led, multicultural nonprofit located on the White Earth Reservation in Northern Minnesota. AAI is dedicated to building sustainable native communities and works to promote gardening, orchards and sustainable food production. AAI honors the Native wisdom that food is medicine. Working in coordination with a number of Indigenous food and farming programs, AAI focuses on native food sovereignty as the center of health, economic development, culture and native nationhood. AAI works in partnership with members of neighboring non-native communities and academic institutions seeking to promote greater understanding and shared learning around restoration and protection of natural resources for current and future generations. Concomitantly with on-the-ground efforts to build up local sustainable food production, AAI works with partners to research and protect water resources, honoring the native wisdom that water is life for humans, flora and fauna.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Field Technicians</w:t>
            </w:r>
          </w:p>
        </w:tc>
        <w:tc>
          <w:tcPr>
            <w:tcW w:type="dxa" w:w="1440"/>
          </w:tcPr>
          <w:p>
            <w:r>
              <w:rPr>
                <w:sz w:val="20"/>
              </w:rPr>
            </w:r>
          </w:p>
        </w:tc>
        <w:tc>
          <w:tcPr>
            <w:tcW w:type="dxa" w:w="5472"/>
          </w:tcPr>
          <w:p>
            <w:r>
              <w:rPr>
                <w:sz w:val="20"/>
              </w:rPr>
              <w:t>set up and maintain field monitoring equipment, anCollect samples for water quality testing, and download data from instrumentation systems</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9</w:t>
            </w:r>
          </w:p>
        </w:tc>
        <w:tc>
          <w:tcPr>
            <w:tcW w:type="dxa" w:w="360"/>
          </w:tcPr>
          <w:p>
            <w:r>
              <w:rPr>
                <w:sz w:val="20"/>
              </w:rPr>
            </w:r>
          </w:p>
        </w:tc>
        <w:tc>
          <w:tcPr>
            <w:tcW w:type="dxa" w:w="1152"/>
          </w:tcPr>
          <w:p>
            <w:pPr>
              <w:jc w:val="right"/>
            </w:pPr>
            <w:r>
              <w:rPr>
                <w:sz w:val="20"/>
              </w:rPr>
              <w:t>$650,000</w:t>
            </w:r>
          </w:p>
        </w:tc>
      </w:tr>
      <w:tr>
        <w:tc>
          <w:tcPr>
            <w:tcW w:type="dxa" w:w="864"/>
          </w:tcPr>
          <w:p>
            <w:r>
              <w:rPr>
                <w:sz w:val="20"/>
              </w:rPr>
              <w:t>Graduate Research Assistants</w:t>
            </w:r>
          </w:p>
        </w:tc>
        <w:tc>
          <w:tcPr>
            <w:tcW w:type="dxa" w:w="1440"/>
          </w:tcPr>
          <w:p>
            <w:r>
              <w:rPr>
                <w:sz w:val="20"/>
              </w:rPr>
            </w:r>
          </w:p>
        </w:tc>
        <w:tc>
          <w:tcPr>
            <w:tcW w:type="dxa" w:w="5472"/>
          </w:tcPr>
          <w:p>
            <w:r>
              <w:rPr>
                <w:sz w:val="20"/>
              </w:rPr>
              <w:t>Monitoring data collected from the field, and developing and utilizing hydrologic and water quality models</w:t>
            </w:r>
          </w:p>
        </w:tc>
        <w:tc>
          <w:tcPr>
            <w:tcW w:type="dxa" w:w="4032"/>
          </w:tcPr>
          <w:p>
            <w:r>
              <w:rPr>
                <w:sz w:val="20"/>
              </w:rPr>
            </w:r>
          </w:p>
        </w:tc>
        <w:tc>
          <w:tcPr>
            <w:tcW w:type="dxa" w:w="360"/>
          </w:tcPr>
          <w:p>
            <w:r>
              <w:rPr>
                <w:sz w:val="20"/>
              </w:rPr>
            </w:r>
          </w:p>
        </w:tc>
        <w:tc>
          <w:tcPr>
            <w:tcW w:type="dxa" w:w="360"/>
          </w:tcPr>
          <w:p>
            <w:pPr>
              <w:jc w:val="right"/>
            </w:pPr>
            <w:r>
              <w:rPr>
                <w:sz w:val="20"/>
              </w:rPr>
              <w:t>89%</w:t>
            </w:r>
          </w:p>
        </w:tc>
        <w:tc>
          <w:tcPr>
            <w:tcW w:type="dxa" w:w="360"/>
          </w:tcPr>
          <w:p>
            <w:pPr>
              <w:jc w:val="right"/>
            </w:pPr>
            <w:r>
              <w:rPr>
                <w:sz w:val="20"/>
              </w:rPr>
              <w:t>9</w:t>
            </w:r>
          </w:p>
        </w:tc>
        <w:tc>
          <w:tcPr>
            <w:tcW w:type="dxa" w:w="360"/>
          </w:tcPr>
          <w:p>
            <w:r>
              <w:rPr>
                <w:sz w:val="20"/>
              </w:rPr>
            </w:r>
          </w:p>
        </w:tc>
        <w:tc>
          <w:tcPr>
            <w:tcW w:type="dxa" w:w="1152"/>
          </w:tcPr>
          <w:p>
            <w:pPr>
              <w:jc w:val="right"/>
            </w:pPr>
            <w:r>
              <w:rPr>
                <w:sz w:val="20"/>
              </w:rPr>
              <w:t>$484,000</w:t>
            </w:r>
          </w:p>
        </w:tc>
      </w:tr>
      <w:tr>
        <w:tc>
          <w:tcPr>
            <w:tcW w:type="dxa" w:w="864"/>
          </w:tcPr>
          <w:p>
            <w:r>
              <w:rPr>
                <w:sz w:val="20"/>
              </w:rPr>
              <w:t>Environmental Counsel</w:t>
            </w:r>
          </w:p>
        </w:tc>
        <w:tc>
          <w:tcPr>
            <w:tcW w:type="dxa" w:w="1440"/>
          </w:tcPr>
          <w:p>
            <w:r>
              <w:rPr>
                <w:sz w:val="20"/>
              </w:rPr>
            </w:r>
          </w:p>
        </w:tc>
        <w:tc>
          <w:tcPr>
            <w:tcW w:type="dxa" w:w="5472"/>
          </w:tcPr>
          <w:p>
            <w:r>
              <w:rPr>
                <w:sz w:val="20"/>
              </w:rPr>
              <w:t>Pollicy analysis, project management and community/government outreach</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$301,000</w:t>
            </w:r>
          </w:p>
        </w:tc>
      </w:tr>
      <w:tr>
        <w:tc>
          <w:tcPr>
            <w:tcW w:type="dxa" w:w="864"/>
          </w:tcPr>
          <w:p>
            <w:r>
              <w:rPr>
                <w:sz w:val="20"/>
              </w:rPr>
              <w:t>Assistant Policy Specialist</w:t>
            </w:r>
          </w:p>
        </w:tc>
        <w:tc>
          <w:tcPr>
            <w:tcW w:type="dxa" w:w="1440"/>
          </w:tcPr>
          <w:p>
            <w:r>
              <w:rPr>
                <w:sz w:val="20"/>
              </w:rPr>
            </w:r>
          </w:p>
        </w:tc>
        <w:tc>
          <w:tcPr>
            <w:tcW w:type="dxa" w:w="5472"/>
          </w:tcPr>
          <w:p>
            <w:r>
              <w:rPr>
                <w:sz w:val="20"/>
              </w:rPr>
              <w:t>Assist with written analyses and government communications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$141,000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Chemical analysis of water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$79,000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Miscellaneous materials; $2,500 per year</w:t>
            </w:r>
          </w:p>
        </w:tc>
        <w:tc>
          <w:tcPr>
            <w:tcW w:type="dxa" w:w="4032"/>
          </w:tcPr>
          <w:p>
            <w:r>
              <w:rPr>
                <w:sz w:val="20"/>
              </w:rPr>
              <w:t>Materials and supplies for setting up and maintaining field data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450 miles/trip/year for 3 years at $0.585/mile; 20 nights/year @ $85/night/; 25 days meals/year @ $45/day</w:t>
            </w:r>
          </w:p>
        </w:tc>
        <w:tc>
          <w:tcPr>
            <w:tcW w:type="dxa" w:w="4032"/>
          </w:tcPr>
          <w:p>
            <w:r>
              <w:rPr>
                <w:sz w:val="20"/>
              </w:rPr>
              <w:t>To travel to field sites for collection of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Groundwater Monitoring Wells; 6</w:t>
            </w:r>
          </w:p>
        </w:tc>
        <w:tc>
          <w:tcPr>
            <w:tcW w:type="dxa" w:w="4032"/>
          </w:tcPr>
          <w:p>
            <w:r>
              <w:rPr>
                <w:sz w:val="20"/>
              </w:rPr>
              <w:t>To install groundwater monitoring wells by licensed well contractor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5a08112e-863.pdf</w:t>
          </w:r>
        </w:hyperlink>
      </w:r>
    </w:p>
    <w:p>
      <w:pPr>
        <w:pStyle w:val="Heading4"/>
        <w:spacing w:before="40" w:after="20"/>
      </w:pPr>
      <w:r>
        <w:rPr>
          <w:b/>
          <w:i/>
          <w:color w:val="000000"/>
          <w:sz w:val="24"/>
        </w:rPr>
        <w:t>Alternate Text for Visual Component</w:t>
      </w:r>
    </w:p>
    <w:p>
      <w:r>
        <w:t>Visual component...</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8de9acc0-4be.pdf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138ff29f-dd7.pdf</w:t>
                </w:r>
              </w:hyperlink>
            </w:r>
          </w:p>
        </w:tc>
      </w:tr>
      <w:tr>
        <w:tc>
          <w:tcPr>
            <w:tcW w:type="dxa" w:w="5400"/>
          </w:tcPr>
          <w:p>
            <w:r>
              <w:rPr>
                <w:sz w:val="20"/>
              </w:rPr>
              <w:t>Akiing 8th Fire FY20</w:t>
            </w:r>
          </w:p>
        </w:tc>
        <w:tc>
          <w:tcPr>
            <w:tcW w:type="dxa" w:w="5400"/>
          </w:tcPr>
          <w:p>
            <w:r>
              <w:rPr>
                <w:sz w:val="20"/>
              </w:rPr>
            </w:r>
            <w:r>
              <w:rPr>
                <w:color w:val="000000" w:themeColor="hyperlink"/>
                <w:sz w:val="20"/>
                <w:u w:val="single"/>
              </w:rPr>
              <w:hyperlink r:id="rId15">
                <w:r>
                  <w:rPr/>
                  <w:t>0635015c-9ef.pdf</w:t>
                </w:r>
              </w:hyperlink>
            </w:r>
          </w:p>
        </w:tc>
      </w:tr>
      <w:tr>
        <w:tc>
          <w:tcPr>
            <w:tcW w:type="dxa" w:w="5400"/>
          </w:tcPr>
          <w:p>
            <w:r>
              <w:rPr>
                <w:sz w:val="20"/>
              </w:rPr>
              <w:t>Akiing Fiscal Sponorship</w:t>
            </w:r>
          </w:p>
        </w:tc>
        <w:tc>
          <w:tcPr>
            <w:tcW w:type="dxa" w:w="5400"/>
          </w:tcPr>
          <w:p>
            <w:r>
              <w:rPr>
                <w:sz w:val="20"/>
              </w:rPr>
            </w:r>
            <w:r>
              <w:rPr>
                <w:color w:val="000000" w:themeColor="hyperlink"/>
                <w:sz w:val="20"/>
                <w:u w:val="single"/>
              </w:rPr>
              <w:hyperlink r:id="rId16">
                <w:r>
                  <w:rPr/>
                  <w:t>fdd7ef80-38c.pdf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1855 Treaty Authority</w:t>
            </w:r>
          </w:p>
        </w:tc>
        <w:tc>
          <w:tcPr>
            <w:tcW w:type="dxa" w:w="5400"/>
          </w:tcPr>
          <w:p>
            <w:r>
              <w:rPr>
                <w:sz w:val="20"/>
              </w:rPr>
            </w:r>
            <w:r>
              <w:rPr>
                <w:color w:val="000000" w:themeColor="hyperlink"/>
                <w:sz w:val="20"/>
                <w:u w:val="single"/>
              </w:rPr>
              <w:hyperlink r:id="rId17">
                <w:r>
                  <w:rPr/>
                  <w:t>1db1c9bb-d49.docx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Akiing8thfire</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a08112e-863.pdf" TargetMode="External"/><Relationship Id="rId13" Type="http://schemas.openxmlformats.org/officeDocument/2006/relationships/hyperlink" Target="https://lccmrprojectmgmt.leg.mn/media/financial_capacity/8de9acc0-4be.pdf" TargetMode="External"/><Relationship Id="rId14" Type="http://schemas.openxmlformats.org/officeDocument/2006/relationships/hyperlink" Target="https://lccmrprojectmgmt.leg.mn/media/attachments/138ff29f-dd7.pdf" TargetMode="External"/><Relationship Id="rId15" Type="http://schemas.openxmlformats.org/officeDocument/2006/relationships/hyperlink" Target="https://lccmrprojectmgmt.leg.mn/media/attachments/0635015c-9ef.pdf" TargetMode="External"/><Relationship Id="rId16" Type="http://schemas.openxmlformats.org/officeDocument/2006/relationships/hyperlink" Target="https://lccmrprojectmgmt.leg.mn/media/attachments/fdd7ef80-38c.pdf" TargetMode="External"/><Relationship Id="rId17" Type="http://schemas.openxmlformats.org/officeDocument/2006/relationships/hyperlink" Target="https://lccmrprojectmgmt.leg.mn/media/attachments/1db1c9bb-d4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Minnesota's Headwaters of the Mississippi/Pineland Sands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