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2023-238</w:t>
      </w:r>
    </w:p>
    <w:p>
      <w:r>
        <w:rPr>
          <w:b/>
        </w:rPr>
        <w:t xml:space="preserve">Proposal Title: </w:t>
      </w:r>
      <w:r>
        <w:t>Leveraging Innovations in Data Analytics for Project Implementation</w:t>
      </w:r>
    </w:p>
    <w:p/>
    <w:p>
      <w:pPr>
        <w:pStyle w:val="Heading2"/>
        <w:spacing w:before="0" w:after="80"/>
      </w:pPr>
      <w:r>
        <w:rPr>
          <w:b/>
          <w:color w:val="2C559C"/>
          <w:sz w:val="28"/>
        </w:rPr>
        <w:t>Project Manager Information</w:t>
      </w:r>
    </w:p>
    <w:p>
      <w:r>
        <w:rPr>
          <w:b/>
        </w:rPr>
        <w:t xml:space="preserve">Name: </w:t>
      </w:r>
      <w:r>
        <w:t>Brian Beck</w:t>
      </w:r>
    </w:p>
    <w:p>
      <w:r>
        <w:rPr>
          <w:b/>
        </w:rPr>
        <w:t xml:space="preserve">Organization: </w:t>
      </w:r>
      <w:r>
        <w:t>Minnehaha Creek Watershed District</w:t>
      </w:r>
    </w:p>
    <w:p>
      <w:r>
        <w:rPr>
          <w:b/>
        </w:rPr>
        <w:t xml:space="preserve">Office Telephone: </w:t>
      </w:r>
      <w:r>
        <w:t>(952) 471-8306</w:t>
      </w:r>
    </w:p>
    <w:p>
      <w:r>
        <w:rPr>
          <w:b/>
        </w:rPr>
        <w:t xml:space="preserve">Email: </w:t>
      </w:r>
      <w:r>
        <w:t>bbeck@minnehahacreek.org</w:t>
      </w:r>
    </w:p>
    <w:p/>
    <w:p>
      <w:pPr>
        <w:pStyle w:val="Heading2"/>
        <w:spacing w:before="0" w:after="80"/>
      </w:pPr>
      <w:r>
        <w:rPr>
          <w:b/>
          <w:color w:val="2C559C"/>
          <w:sz w:val="28"/>
        </w:rPr>
        <w:t>Project Basic Information</w:t>
      </w:r>
    </w:p>
    <w:p>
      <w:r>
        <w:rPr>
          <w:b/>
        </w:rPr>
        <w:t xml:space="preserve">Project Summary: </w:t>
      </w:r>
      <w:r>
        <w:t>Integrating local and statewide datasets into a 21st-century planning tool, widely called for by our communities, that forecasts the impacts of changing precipitation patterns and quantitatively compares cost-effective solutions.</w:t>
      </w:r>
    </w:p>
    <w:p>
      <w:r>
        <w:rPr>
          <w:b/>
        </w:rPr>
        <w:t xml:space="preserve">Funds Requested: </w:t>
      </w:r>
      <w:r>
        <w:t>$738,000</w:t>
      </w:r>
    </w:p>
    <w:p>
      <w:r>
        <w:rPr>
          <w:b/>
        </w:rPr>
        <w:t xml:space="preserve">Proposed Project Completion: </w:t>
      </w:r>
      <w:r>
        <w:t>December 31, 2024</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systems throughout Minnesota were built for stable climate patterns that no longer exist. Extreme swings in precipitation are stressing our natural and built environments, impacting pollutant loading, stream erosion, wetland function, surface and groundwater interactions, habitat, and the safety of homes, public infrastructure, and businesses.</w:t>
        <w:br/>
        <w:br/>
        <w:t>Watershed managers must help communities understand and adapt to these changes. However, the ability to do so is hampered by sparse and static historic data sets, which make it difficult to predict how specific areas will be impacted and quantitatively compare potential solutions.</w:t>
        <w:br/>
        <w:br/>
        <w:t>Fortunately, advances in data science have made it affordable to collect exponentially more data and analyze it in more sophisticated ways. These advances allow water planners around the world to understand and predict changes with unprecedented accuracy and detail, allowing for more effective use of scarce public investment to address these issues. In Minnesota, data collection has outpaced the tools used to make sense of the information. Realizing the full potential of these advances requires new systems to integrate this data to identify existing issues, forecast future ones, and guide local decisions.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In partnership with the DNR, USGS, and Hennepin County, and with formal support from 14 federal, state, and regional agencies and local communities, the Minnehaha Creek Watershed District (MCWD) is proposing a pioneering program to maximize the value of recent public investments in data collection.</w:t>
        <w:br/>
        <w:br/>
        <w:t>For example, MCWD has created a remote sensing network that collects more than 1 million data points per year about surface water levels, shallow groundwater levels, and pollutant loading. State leaders have invested in mapping the detailed topography of the state. Municipal partners have digitized data about their storm sewer systems.</w:t>
        <w:br/>
        <w:br/>
        <w:t xml:space="preserve">MCWD wants to partner with LCCMR to develop a reproducible process that brings these disparate data sets together into a quantitative planning tool. Using advances in 2-dimensional modeling, these tools will be able to pinpoint, quantitatively evaluate and drive decisions on climate adaptation projects and policies. </w:t>
        <w:br/>
        <w:br/>
        <w:t>Such a tool will be critical to the climate adaptation planning efforts as watershed managers and communities begin to understand the impact of changing precipitation patterns on our built and natural systems. The result will be more effective green and gray infrastructure solutions that protect and conserve the watershed’s iconic water resources.</w:t>
      </w:r>
    </w:p>
    <w:p>
      <w:pPr>
        <w:spacing w:after="60"/>
      </w:pPr>
      <w:r>
        <w:rPr>
          <w:b/>
        </w:rPr>
        <w:t xml:space="preserve">What are the specific project outcomes as they relate to the public purpose of protection, conservation, preservation, and enhancement of the state’s natural resources? </w:t>
      </w:r>
    </w:p>
    <w:p>
      <w:r>
        <w:t>•</w:t>
        <w:tab/>
        <w:t xml:space="preserve">A single, continuously-updated tool that integrates previously-siloed public data sets to quantitatively compare proposed natural resource projects </w:t>
        <w:br/>
        <w:br/>
        <w:t>•</w:t>
        <w:tab/>
        <w:t>A high-resolution understanding of the balance of all surface and groundwater inputs and outputs in the system, to identify natural resources and public assets in need of protection</w:t>
        <w:br/>
        <w:br/>
        <w:t>•</w:t>
        <w:tab/>
        <w:t>Improved ability to predict the impact of changes in precipitation and land use, to enhance infrastructure planning</w:t>
        <w:br/>
        <w:t xml:space="preserve"> </w:t>
        <w:br/>
        <w:t>•</w:t>
        <w:tab/>
        <w:t>Improved ability to quantify and compare the cost-effectiveness of potential conservation projects needed to address predicted impacts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Building the External Data Information Processing System</w:t>
      </w:r>
    </w:p>
    <w:p>
      <w:r>
        <w:rPr>
          <w:b/>
        </w:rPr>
        <w:t xml:space="preserve">Activity Budget: </w:t>
      </w:r>
      <w:r>
        <w:t>$361,000</w:t>
      </w:r>
    </w:p>
    <w:p>
      <w:r>
        <w:rPr>
          <w:b/>
        </w:rPr>
        <w:t xml:space="preserve">Activity Description: </w:t>
        <w:br/>
      </w:r>
      <w:r>
        <w:t>Because land use and stormwater infrastructure are constantly changing, watershed managers face the recurring challenge of using tools that are not based on up-to-date information. Historically, the process of updating watershed models has been a time-intensive endeavor because all data collection and processing has been done manually.</w:t>
        <w:br/>
        <w:t>However, recent advances in data science have resulted in frameworks that automate complex data processing, which will dramatically reduce the cost of future model updates for MCWD and other public agencies throughout the state that could use this process as a template for enhancing and automating their own watershed model development.</w:t>
        <w:br/>
        <w:br/>
        <w:t>MCWD will develop a reproducible data processing system that can incorporate publicly available datasets into a watershed modeling framework. Then, MCWD will work with technical experts to plan and build a GIS system that automatically updates based on changing landuse and infrastructure datasets to ensure the watershed model used for natural resource project identification is using the most current landscape and infrastructure information.</w:t>
        <w:br/>
        <w:br/>
        <w:t>In addition, MCWD will use this automated process to identify and fill critical data gaps such as wetland volumes, stream channel surveys, and bridge surveys to improve the accuracy of the watershed planning tool.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Automated Intake Processing System for Municipal Stormsewer Data</w:t>
            </w:r>
          </w:p>
        </w:tc>
        <w:tc>
          <w:tcPr>
            <w:tcW w:type="dxa" w:w="2160"/>
          </w:tcPr>
          <w:p>
            <w:pPr>
              <w:jc w:val="right"/>
            </w:pPr>
            <w:r>
              <w:rPr>
                <w:sz w:val="20"/>
              </w:rPr>
              <w:t>December 31, 2023</w:t>
            </w:r>
          </w:p>
        </w:tc>
      </w:tr>
      <w:tr>
        <w:tc>
          <w:tcPr>
            <w:tcW w:type="dxa" w:w="8640"/>
          </w:tcPr>
          <w:p>
            <w:r>
              <w:rPr>
                <w:sz w:val="20"/>
              </w:rPr>
              <w:t>Collect Wetland, Channel, and Bridge Data for Model</w:t>
            </w:r>
          </w:p>
        </w:tc>
        <w:tc>
          <w:tcPr>
            <w:tcW w:type="dxa" w:w="2160"/>
          </w:tcPr>
          <w:p>
            <w:pPr>
              <w:jc w:val="right"/>
            </w:pPr>
            <w:r>
              <w:rPr>
                <w:sz w:val="20"/>
              </w:rPr>
              <w:t>June 30, 2024</w:t>
            </w:r>
          </w:p>
        </w:tc>
      </w:tr>
    </w:tbl>
    <w:p/>
    <w:p>
      <w:pPr>
        <w:pStyle w:val="Heading3"/>
        <w:spacing w:after="60"/>
      </w:pPr>
      <w:r>
        <w:rPr>
          <w:b/>
          <w:color w:val="254885"/>
          <w:sz w:val="26"/>
        </w:rPr>
        <w:t>Activity 2: Building the 2D Watershed Model for Natural Resource Climate Adaptation Planning</w:t>
      </w:r>
    </w:p>
    <w:p>
      <w:r>
        <w:rPr>
          <w:b/>
        </w:rPr>
        <w:t xml:space="preserve">Activity Budget: </w:t>
      </w:r>
      <w:r>
        <w:t>$377,000</w:t>
      </w:r>
    </w:p>
    <w:p>
      <w:r>
        <w:rPr>
          <w:b/>
        </w:rPr>
        <w:t xml:space="preserve">Activity Description: </w:t>
        <w:br/>
      </w:r>
      <w:r>
        <w:t>MCWD will incorporate the data produced from the automated processing system developed in activity 1 into a high-resolution watershed model that can predict, in unprecedented detail, how water and pollutants will move through the system under current and predicted scenarios. The outcome from building the watershed model will be a tool that can help watershed managers meet their water quality, water quantity, and ecologic improvement goals.</w:t>
        <w:br/>
        <w:br/>
        <w:t>Building this model will involve an iterative process to ensure that the automated processes developed in activity 1 can be incorporated into a high-resolution watershed planning tool. In addition, the consultant will use streamflow data collected by MCWD staff to calibrate the model to ensure it can accurately predict how water moves through the built and natural environment.</w:t>
        <w:br/>
        <w:br/>
        <w:t>MCWD and the consultant will meet with local municipalities and engineers to communicate the use cases for the model to ensure it can be used by other entities to identify water quality, natural resource, and flood reduction projects.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Build and Calibrate Two Dimensional Watershed Hydrology and Hydraulics Model</w:t>
            </w:r>
          </w:p>
        </w:tc>
        <w:tc>
          <w:tcPr>
            <w:tcW w:type="dxa" w:w="2160"/>
          </w:tcPr>
          <w:p>
            <w:pPr>
              <w:jc w:val="right"/>
            </w:pPr>
            <w:r>
              <w:rPr>
                <w:sz w:val="20"/>
              </w:rPr>
              <w:t>November 30, 2024</w:t>
            </w:r>
          </w:p>
        </w:tc>
      </w:tr>
      <w:tr>
        <w:tc>
          <w:tcPr>
            <w:tcW w:type="dxa" w:w="8640"/>
          </w:tcPr>
          <w:p>
            <w:r>
              <w:rPr>
                <w:sz w:val="20"/>
              </w:rPr>
              <w:t>Write Technical Report for Two Dimensional Watershed Model</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 Cowdery</w:t>
            </w:r>
          </w:p>
        </w:tc>
        <w:tc>
          <w:tcPr>
            <w:tcW w:type="dxa" w:w="1440"/>
          </w:tcPr>
          <w:p>
            <w:r>
              <w:rPr>
                <w:sz w:val="20"/>
              </w:rPr>
              <w:t>U.S. Geological Survey</w:t>
            </w:r>
          </w:p>
        </w:tc>
        <w:tc>
          <w:tcPr>
            <w:tcW w:type="dxa" w:w="6840"/>
          </w:tcPr>
          <w:p>
            <w:r>
              <w:rPr>
                <w:sz w:val="20"/>
              </w:rPr>
              <w:t>Assist with identifying groundwater well monitoring locations, conducting groundwater data analysis, suggesting methods for incorporating groundwater data into the 2D model, and providing oversight on 2D model build.</w:t>
            </w:r>
          </w:p>
        </w:tc>
        <w:tc>
          <w:tcPr>
            <w:tcW w:type="dxa" w:w="1080"/>
          </w:tcPr>
          <w:p>
            <w:r>
              <w:rPr>
                <w:sz w:val="20"/>
              </w:rPr>
              <w:t>No</w:t>
            </w:r>
          </w:p>
        </w:tc>
      </w:tr>
      <w:tr>
        <w:tc>
          <w:tcPr>
            <w:tcW w:type="dxa" w:w="1440"/>
          </w:tcPr>
          <w:p>
            <w:r>
              <w:rPr>
                <w:sz w:val="20"/>
              </w:rPr>
              <w:t>Dan Lais</w:t>
            </w:r>
          </w:p>
        </w:tc>
        <w:tc>
          <w:tcPr>
            <w:tcW w:type="dxa" w:w="1440"/>
          </w:tcPr>
          <w:p>
            <w:r>
              <w:rPr>
                <w:sz w:val="20"/>
              </w:rPr>
              <w:t>Minnesota Department of Natural Resources</w:t>
            </w:r>
          </w:p>
        </w:tc>
        <w:tc>
          <w:tcPr>
            <w:tcW w:type="dxa" w:w="6840"/>
          </w:tcPr>
          <w:p>
            <w:r>
              <w:rPr>
                <w:sz w:val="20"/>
              </w:rPr>
              <w:t>Collect and analyze additional groundwater and surface water interactions to integrate this data, along with other datasets, into the development of a high-resolution two-dimensional (2D) watershed model.</w:t>
            </w:r>
          </w:p>
        </w:tc>
        <w:tc>
          <w:tcPr>
            <w:tcW w:type="dxa" w:w="1080"/>
          </w:tcPr>
          <w:p>
            <w:r>
              <w:rPr>
                <w:sz w:val="20"/>
              </w:rPr>
              <w:t>No</w:t>
            </w:r>
          </w:p>
        </w:tc>
      </w:tr>
      <w:tr>
        <w:tc>
          <w:tcPr>
            <w:tcW w:type="dxa" w:w="1440"/>
          </w:tcPr>
          <w:p>
            <w:r>
              <w:rPr>
                <w:sz w:val="20"/>
              </w:rPr>
              <w:t>John Evans</w:t>
            </w:r>
          </w:p>
        </w:tc>
        <w:tc>
          <w:tcPr>
            <w:tcW w:type="dxa" w:w="1440"/>
          </w:tcPr>
          <w:p>
            <w:r>
              <w:rPr>
                <w:sz w:val="20"/>
              </w:rPr>
              <w:t>Hennepin County</w:t>
            </w:r>
          </w:p>
        </w:tc>
        <w:tc>
          <w:tcPr>
            <w:tcW w:type="dxa" w:w="6840"/>
          </w:tcPr>
          <w:p>
            <w:r>
              <w:rPr>
                <w:sz w:val="20"/>
              </w:rPr>
              <w:t>Hennepin County will assist with data collection, assessing climate impacts, and providing input on the tools needed to effectively plan and adapt to changing hydrology, in partnership with our communities.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yield a sophisticated tool, drawing on state of the art data analytics, to enhance MCWD’s organizational ability to partner with its member communities to identify, evaluate, and implement natural resource capital improvement projects that improve water quality, control water quantity, improve ecological integrity, and reduce flooding in the face of a changing climate. The products of LCCMR’s investment are expected to help MCWD and its partners populate, focus, and prioritize capital improvement plans that will be funded locally. The long-term sustainment costs for maintaining the watershed tools will be borne by MCWD.</w:t>
      </w:r>
    </w:p>
    <w:p>
      <w:pPr>
        <w:pStyle w:val="Heading2"/>
        <w:spacing w:before="0" w:after="80"/>
      </w:pPr>
      <w:r>
        <w:rPr>
          <w:b/>
          <w:color w:val="2C559C"/>
          <w:sz w:val="28"/>
        </w:rPr>
        <w:t>Project Manager and Organization Qualifications</w:t>
      </w:r>
    </w:p>
    <w:p>
      <w:r>
        <w:rPr>
          <w:b/>
        </w:rPr>
        <w:t xml:space="preserve">Project Manager Name: </w:t>
      </w:r>
      <w:r>
        <w:t>Brian Beck</w:t>
      </w:r>
    </w:p>
    <w:p>
      <w:r>
        <w:rPr>
          <w:b/>
        </w:rPr>
        <w:t xml:space="preserve">Job Title: </w:t>
      </w:r>
      <w:r>
        <w:t>Research and Monitoring Program Manager</w:t>
      </w:r>
    </w:p>
    <w:p>
      <w:r>
        <w:rPr>
          <w:b/>
        </w:rPr>
        <w:t xml:space="preserve">Provide description of the project manager’s qualifications to manage the proposed project. </w:t>
        <w:br/>
      </w:r>
      <w:r>
        <w:t>Education:</w:t>
        <w:br/>
        <w:t>M.S. 2012 University of Minnesota-Duluth (Water Resources Science)</w:t>
        <w:br/>
        <w:t>B.S. 2008 University of Minnesota Twin Cities (Environmental Science with emphasis on aquatic chemistry)</w:t>
        <w:br/>
        <w:br/>
        <w:t>Mr. Beck is a water resource scientist with 11 years of experience quantifying the impact of landscape change on water quality and quantity at a municipal, watershed, and statewide scale. The focus of his academic and professional career has been obtaining data from disparate sources for data analysis and building quantitative tools to develop insights about complex aquatic systems. Mr. Beck’s professional career in the private and public sector has been built upon developing deterministic and empirical water quality models such as P8, GWLF, HSPF, SWAT, PONDNET, CEQUAL, BATHTUB, and GLM to inform management decisions of water quality, water quantity, and ecological integrity.</w:t>
        <w:br/>
        <w:br/>
        <w:t>Mr. Beck will oversee the development of the watershed-wide two dimensional (2D) model. He has extensive experience developing quantitative water quality models for cities, watershed districts, and the State of Minnesota for feasibility studies, watershed diagnostic assessments, and regional Total Daily Maximum Load studies. His blend of technical expertise in watershed modeling and understanding of local government will allow him to facilitate the interaction between watershed managers and technical consultants to ensure that the model is technically sound and can be used to inform watershed management decisions.</w:t>
      </w:r>
    </w:p>
    <w:p>
      <w:r>
        <w:rPr>
          <w:b/>
        </w:rPr>
        <w:t xml:space="preserve">Organization: </w:t>
      </w:r>
      <w:r>
        <w:t>Minnehaha Creek Watershed District</w:t>
      </w:r>
    </w:p>
    <w:p>
      <w:r>
        <w:rPr>
          <w:b/>
        </w:rPr>
        <w:t xml:space="preserve">Organization Description: </w:t>
        <w:br/>
      </w:r>
      <w:r>
        <w:t>Minnehaha Creek Watershed District is a local unit of government responsible for managing and protecting the water resources in one of the largest and most heavily-used urban watersheds in Minnesota. MCWD’s legal boundary encompasses about 178 square miles within the western Twin Cities metropolitan area and includes 29 communities. Of this area, about 148 square miles lie within Hennepin County and about 30 square miles lie within Carver County. To manage water resources and ecological integrity in this large area, MCWD has prioritized the need to bridge the governance gap between land use and water resource planning to achieve its goals of improving water quality, water quantity, ecological integrity, and thriving communities. MCWD’s approach to bridging this gap is to understand the goals of others; apply sound science to creative solutions; and align investments, technical expertise, streamlined permitting, and collaborative planning.</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through competitive bid</w:t>
            </w:r>
          </w:p>
        </w:tc>
        <w:tc>
          <w:tcPr>
            <w:tcW w:type="dxa" w:w="1440"/>
          </w:tcPr>
          <w:p>
            <w:r>
              <w:rPr>
                <w:sz w:val="20"/>
              </w:rPr>
              <w:t>Professional or Technical Service Contract</w:t>
            </w:r>
          </w:p>
        </w:tc>
        <w:tc>
          <w:tcPr>
            <w:tcW w:type="dxa" w:w="5472"/>
          </w:tcPr>
          <w:p>
            <w:r>
              <w:rPr>
                <w:sz w:val="20"/>
              </w:rPr>
              <w:t>The consulting engineer will provide technical support for data processing and model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2.44</w:t>
            </w:r>
          </w:p>
        </w:tc>
        <w:tc>
          <w:tcPr>
            <w:tcW w:type="dxa" w:w="360"/>
          </w:tcPr>
          <w:p>
            <w:r>
              <w:rPr>
                <w:sz w:val="20"/>
              </w:rPr>
            </w:r>
          </w:p>
        </w:tc>
        <w:tc>
          <w:tcPr>
            <w:tcW w:type="dxa" w:w="1152"/>
          </w:tcPr>
          <w:p>
            <w:pPr>
              <w:jc w:val="right"/>
            </w:pPr>
            <w:r>
              <w:rPr>
                <w:sz w:val="20"/>
              </w:rPr>
              <w:t>$738,000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$738,000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Minnehaha Creek Watershed District Tax Levy</w:t>
            </w:r>
          </w:p>
        </w:tc>
        <w:tc>
          <w:tcPr>
            <w:tcW w:type="dxa" w:w="6120"/>
          </w:tcPr>
          <w:p>
            <w:r>
              <w:rPr>
                <w:sz w:val="20"/>
              </w:rPr>
              <w:t>Minnehaha Creek Watershed District staff will be contributing a total of</w:t>
              <w:br/>
              <w:t>3790 hours of in-kind support for the project.</w:t>
            </w:r>
          </w:p>
        </w:tc>
        <w:tc>
          <w:tcPr>
            <w:tcW w:type="dxa" w:w="1080"/>
          </w:tcPr>
          <w:p>
            <w:r>
              <w:rPr>
                <w:sz w:val="20"/>
              </w:rPr>
              <w:t>Secured</w:t>
            </w:r>
          </w:p>
        </w:tc>
        <w:tc>
          <w:tcPr>
            <w:tcW w:type="dxa" w:w="1440"/>
          </w:tcPr>
          <w:p>
            <w:pPr>
              <w:jc w:val="right"/>
            </w:pPr>
            <w:r>
              <w:rPr>
                <w:sz w:val="20"/>
              </w:rPr>
              <w:t>$203,100</w:t>
            </w:r>
          </w:p>
        </w:tc>
      </w:tr>
      <w:tr>
        <w:tc>
          <w:tcPr>
            <w:tcW w:type="dxa" w:w="1080"/>
          </w:tcPr>
          <w:p>
            <w:r>
              <w:rPr>
                <w:sz w:val="20"/>
              </w:rPr>
              <w:t>Cash</w:t>
            </w:r>
          </w:p>
        </w:tc>
        <w:tc>
          <w:tcPr>
            <w:tcW w:type="dxa" w:w="4680"/>
          </w:tcPr>
          <w:p>
            <w:r>
              <w:rPr>
                <w:sz w:val="20"/>
              </w:rPr>
              <w:t>Minnehaha Creek Watershed District Tax Levy</w:t>
            </w:r>
          </w:p>
        </w:tc>
        <w:tc>
          <w:tcPr>
            <w:tcW w:type="dxa" w:w="6120"/>
          </w:tcPr>
          <w:p>
            <w:r>
              <w:rPr>
                <w:sz w:val="20"/>
              </w:rPr>
              <w:t>MCWD will contract with the USGS to oversee the selection of groundwater sensor monitoring locations and the development of the</w:t>
              <w:br/>
              <w:t>2D watershed model</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$213,100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$213,100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61f1f181-ad1.pdf</w:t>
          </w:r>
        </w:hyperlink>
      </w:r>
    </w:p>
    <w:p>
      <w:pPr>
        <w:pStyle w:val="Heading4"/>
        <w:spacing w:before="40" w:after="20"/>
      </w:pPr>
      <w:r>
        <w:rPr>
          <w:b/>
          <w:i/>
          <w:color w:val="000000"/>
          <w:sz w:val="24"/>
        </w:rPr>
        <w:t>Alternate Text for Visual Component</w:t>
      </w:r>
    </w:p>
    <w:p>
      <w:r>
        <w:t>The attached graphic demonstrates how the proposed tools will convert a variety of disparate data sources into usable information to inform natural resource management decisions. It demonstrates how data sources about our built and natural environment – soils, topography, wetlands, hydrology, groundwater, precipitation, land cover, future land use, and storm sewer — will be integrated into a 2-dimensional model that will predict how water moves through the landscape under a variety of scenari...</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MCWD Board Resolution Placeholder for LCCMR Application</w:t>
            </w:r>
          </w:p>
        </w:tc>
        <w:tc>
          <w:tcPr>
            <w:tcW w:type="dxa" w:w="5400"/>
          </w:tcPr>
          <w:p>
            <w:r>
              <w:rPr>
                <w:sz w:val="20"/>
              </w:rPr>
            </w:r>
            <w:r>
              <w:rPr>
                <w:color w:val="000000" w:themeColor="hyperlink"/>
                <w:sz w:val="20"/>
                <w:u w:val="single"/>
              </w:rPr>
              <w:hyperlink r:id="rId13">
                <w:r>
                  <w:rPr/>
                  <w:t>4e409351-013.pdf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USGS Letter of Support</w:t>
            </w:r>
          </w:p>
        </w:tc>
        <w:tc>
          <w:tcPr>
            <w:tcW w:type="dxa" w:w="5400"/>
          </w:tcPr>
          <w:p>
            <w:r>
              <w:rPr>
                <w:sz w:val="20"/>
              </w:rPr>
            </w:r>
            <w:r>
              <w:rPr>
                <w:color w:val="000000" w:themeColor="hyperlink"/>
                <w:sz w:val="20"/>
                <w:u w:val="single"/>
              </w:rPr>
              <w:hyperlink r:id="rId14">
                <w:r>
                  <w:rPr/>
                  <w:t>de56a77b-280.pdf</w:t>
                </w:r>
              </w:hyperlink>
            </w:r>
          </w:p>
        </w:tc>
      </w:tr>
      <w:tr>
        <w:tc>
          <w:tcPr>
            <w:tcW w:type="dxa" w:w="5400"/>
          </w:tcPr>
          <w:p>
            <w:r>
              <w:rPr>
                <w:sz w:val="20"/>
              </w:rPr>
              <w:t>MN DNR Letter of Support</w:t>
            </w:r>
          </w:p>
        </w:tc>
        <w:tc>
          <w:tcPr>
            <w:tcW w:type="dxa" w:w="5400"/>
          </w:tcPr>
          <w:p>
            <w:r>
              <w:rPr>
                <w:sz w:val="20"/>
              </w:rPr>
            </w:r>
            <w:r>
              <w:rPr>
                <w:color w:val="000000" w:themeColor="hyperlink"/>
                <w:sz w:val="20"/>
                <w:u w:val="single"/>
              </w:rPr>
              <w:hyperlink r:id="rId15">
                <w:r>
                  <w:rPr/>
                  <w:t>2f72934d-205.pdf</w:t>
                </w:r>
              </w:hyperlink>
            </w:r>
          </w:p>
        </w:tc>
      </w:tr>
      <w:tr>
        <w:tc>
          <w:tcPr>
            <w:tcW w:type="dxa" w:w="5400"/>
          </w:tcPr>
          <w:p>
            <w:r>
              <w:rPr>
                <w:sz w:val="20"/>
              </w:rPr>
              <w:t>Met Council Letter of Support</w:t>
            </w:r>
          </w:p>
        </w:tc>
        <w:tc>
          <w:tcPr>
            <w:tcW w:type="dxa" w:w="5400"/>
          </w:tcPr>
          <w:p>
            <w:r>
              <w:rPr>
                <w:sz w:val="20"/>
              </w:rPr>
            </w:r>
            <w:r>
              <w:rPr>
                <w:color w:val="000000" w:themeColor="hyperlink"/>
                <w:sz w:val="20"/>
                <w:u w:val="single"/>
              </w:rPr>
              <w:hyperlink r:id="rId16">
                <w:r>
                  <w:rPr/>
                  <w:t>b0553570-10b.pdf</w:t>
                </w:r>
              </w:hyperlink>
            </w:r>
          </w:p>
        </w:tc>
      </w:tr>
      <w:tr>
        <w:tc>
          <w:tcPr>
            <w:tcW w:type="dxa" w:w="5400"/>
          </w:tcPr>
          <w:p>
            <w:r>
              <w:rPr>
                <w:sz w:val="20"/>
              </w:rPr>
              <w:t>Minnesota Cities Stormwater Coalition Letter of Support</w:t>
            </w:r>
          </w:p>
        </w:tc>
        <w:tc>
          <w:tcPr>
            <w:tcW w:type="dxa" w:w="5400"/>
          </w:tcPr>
          <w:p>
            <w:r>
              <w:rPr>
                <w:sz w:val="20"/>
              </w:rPr>
            </w:r>
            <w:r>
              <w:rPr>
                <w:color w:val="000000" w:themeColor="hyperlink"/>
                <w:sz w:val="20"/>
                <w:u w:val="single"/>
              </w:rPr>
              <w:hyperlink r:id="rId17">
                <w:r>
                  <w:rPr/>
                  <w:t>69c682c6-fb2.pdf</w:t>
                </w:r>
              </w:hyperlink>
            </w:r>
          </w:p>
        </w:tc>
      </w:tr>
      <w:tr>
        <w:tc>
          <w:tcPr>
            <w:tcW w:type="dxa" w:w="5400"/>
          </w:tcPr>
          <w:p>
            <w:r>
              <w:rPr>
                <w:sz w:val="20"/>
              </w:rPr>
              <w:t>Hennepin County Letter of Support</w:t>
            </w:r>
          </w:p>
        </w:tc>
        <w:tc>
          <w:tcPr>
            <w:tcW w:type="dxa" w:w="5400"/>
          </w:tcPr>
          <w:p>
            <w:r>
              <w:rPr>
                <w:sz w:val="20"/>
              </w:rPr>
            </w:r>
            <w:r>
              <w:rPr>
                <w:color w:val="000000" w:themeColor="hyperlink"/>
                <w:sz w:val="20"/>
                <w:u w:val="single"/>
              </w:rPr>
              <w:hyperlink r:id="rId18">
                <w:r>
                  <w:rPr/>
                  <w:t>306c750a-ab4.pdf</w:t>
                </w:r>
              </w:hyperlink>
            </w:r>
          </w:p>
        </w:tc>
      </w:tr>
      <w:tr>
        <w:tc>
          <w:tcPr>
            <w:tcW w:type="dxa" w:w="5400"/>
          </w:tcPr>
          <w:p>
            <w:r>
              <w:rPr>
                <w:sz w:val="20"/>
              </w:rPr>
              <w:t>EQB Letter of Support</w:t>
            </w:r>
          </w:p>
        </w:tc>
        <w:tc>
          <w:tcPr>
            <w:tcW w:type="dxa" w:w="5400"/>
          </w:tcPr>
          <w:p>
            <w:r>
              <w:rPr>
                <w:sz w:val="20"/>
              </w:rPr>
            </w:r>
            <w:r>
              <w:rPr>
                <w:color w:val="000000" w:themeColor="hyperlink"/>
                <w:sz w:val="20"/>
                <w:u w:val="single"/>
              </w:rPr>
              <w:hyperlink r:id="rId19">
                <w:r>
                  <w:rPr/>
                  <w:t>da7c900a-a25.pdf</w:t>
                </w:r>
              </w:hyperlink>
            </w:r>
          </w:p>
        </w:tc>
      </w:tr>
      <w:tr>
        <w:tc>
          <w:tcPr>
            <w:tcW w:type="dxa" w:w="5400"/>
          </w:tcPr>
          <w:p>
            <w:r>
              <w:rPr>
                <w:sz w:val="20"/>
              </w:rPr>
              <w:t>Minneapolis Park and Recreation Board Letter of Support</w:t>
            </w:r>
          </w:p>
        </w:tc>
        <w:tc>
          <w:tcPr>
            <w:tcW w:type="dxa" w:w="5400"/>
          </w:tcPr>
          <w:p>
            <w:r>
              <w:rPr>
                <w:sz w:val="20"/>
              </w:rPr>
            </w:r>
            <w:r>
              <w:rPr>
                <w:color w:val="000000" w:themeColor="hyperlink"/>
                <w:sz w:val="20"/>
                <w:u w:val="single"/>
              </w:rPr>
              <w:hyperlink r:id="rId20">
                <w:r>
                  <w:rPr/>
                  <w:t>0d2f38c5-2d0.pdf</w:t>
                </w:r>
              </w:hyperlink>
            </w:r>
          </w:p>
        </w:tc>
      </w:tr>
      <w:tr>
        <w:tc>
          <w:tcPr>
            <w:tcW w:type="dxa" w:w="5400"/>
          </w:tcPr>
          <w:p>
            <w:r>
              <w:rPr>
                <w:sz w:val="20"/>
              </w:rPr>
              <w:t>City of Edina Letter of Support</w:t>
            </w:r>
          </w:p>
        </w:tc>
        <w:tc>
          <w:tcPr>
            <w:tcW w:type="dxa" w:w="5400"/>
          </w:tcPr>
          <w:p>
            <w:r>
              <w:rPr>
                <w:sz w:val="20"/>
              </w:rPr>
            </w:r>
            <w:r>
              <w:rPr>
                <w:color w:val="000000" w:themeColor="hyperlink"/>
                <w:sz w:val="20"/>
                <w:u w:val="single"/>
              </w:rPr>
              <w:hyperlink r:id="rId21">
                <w:r>
                  <w:rPr/>
                  <w:t>c31c2f7f-880.pdf</w:t>
                </w:r>
              </w:hyperlink>
            </w:r>
          </w:p>
        </w:tc>
      </w:tr>
      <w:tr>
        <w:tc>
          <w:tcPr>
            <w:tcW w:type="dxa" w:w="5400"/>
          </w:tcPr>
          <w:p>
            <w:r>
              <w:rPr>
                <w:sz w:val="20"/>
              </w:rPr>
              <w:t>City of Minneapolis Letter of Support</w:t>
            </w:r>
          </w:p>
        </w:tc>
        <w:tc>
          <w:tcPr>
            <w:tcW w:type="dxa" w:w="5400"/>
          </w:tcPr>
          <w:p>
            <w:r>
              <w:rPr>
                <w:sz w:val="20"/>
              </w:rPr>
            </w:r>
            <w:r>
              <w:rPr>
                <w:color w:val="000000" w:themeColor="hyperlink"/>
                <w:sz w:val="20"/>
                <w:u w:val="single"/>
              </w:rPr>
              <w:hyperlink r:id="rId22">
                <w:r>
                  <w:rPr/>
                  <w:t>b03378ab-d1d.pdf</w:t>
                </w:r>
              </w:hyperlink>
            </w:r>
          </w:p>
        </w:tc>
      </w:tr>
      <w:tr>
        <w:tc>
          <w:tcPr>
            <w:tcW w:type="dxa" w:w="5400"/>
          </w:tcPr>
          <w:p>
            <w:r>
              <w:rPr>
                <w:sz w:val="20"/>
              </w:rPr>
              <w:t>City of Minnetonka Letter of Support</w:t>
            </w:r>
          </w:p>
        </w:tc>
        <w:tc>
          <w:tcPr>
            <w:tcW w:type="dxa" w:w="5400"/>
          </w:tcPr>
          <w:p>
            <w:r>
              <w:rPr>
                <w:sz w:val="20"/>
              </w:rPr>
            </w:r>
            <w:r>
              <w:rPr>
                <w:color w:val="000000" w:themeColor="hyperlink"/>
                <w:sz w:val="20"/>
                <w:u w:val="single"/>
              </w:rPr>
              <w:hyperlink r:id="rId23">
                <w:r>
                  <w:rPr/>
                  <w:t>08497ccb-20c.pdf</w:t>
                </w:r>
              </w:hyperlink>
            </w:r>
          </w:p>
        </w:tc>
      </w:tr>
      <w:tr>
        <w:tc>
          <w:tcPr>
            <w:tcW w:type="dxa" w:w="5400"/>
          </w:tcPr>
          <w:p>
            <w:r>
              <w:rPr>
                <w:sz w:val="20"/>
              </w:rPr>
              <w:t>City of Mound Letter of Support</w:t>
            </w:r>
          </w:p>
        </w:tc>
        <w:tc>
          <w:tcPr>
            <w:tcW w:type="dxa" w:w="5400"/>
          </w:tcPr>
          <w:p>
            <w:r>
              <w:rPr>
                <w:sz w:val="20"/>
              </w:rPr>
            </w:r>
            <w:r>
              <w:rPr>
                <w:color w:val="000000" w:themeColor="hyperlink"/>
                <w:sz w:val="20"/>
                <w:u w:val="single"/>
              </w:rPr>
              <w:hyperlink r:id="rId24">
                <w:r>
                  <w:rPr/>
                  <w:t>667fb967-295.pdf</w:t>
                </w:r>
              </w:hyperlink>
            </w:r>
          </w:p>
        </w:tc>
      </w:tr>
      <w:tr>
        <w:tc>
          <w:tcPr>
            <w:tcW w:type="dxa" w:w="5400"/>
          </w:tcPr>
          <w:p>
            <w:r>
              <w:rPr>
                <w:sz w:val="20"/>
              </w:rPr>
              <w:t>City of St. Louis Park Letter of Support</w:t>
            </w:r>
          </w:p>
        </w:tc>
        <w:tc>
          <w:tcPr>
            <w:tcW w:type="dxa" w:w="5400"/>
          </w:tcPr>
          <w:p>
            <w:r>
              <w:rPr>
                <w:sz w:val="20"/>
              </w:rPr>
            </w:r>
            <w:r>
              <w:rPr>
                <w:color w:val="000000" w:themeColor="hyperlink"/>
                <w:sz w:val="20"/>
                <w:u w:val="single"/>
              </w:rPr>
              <w:hyperlink r:id="rId25">
                <w:r>
                  <w:rPr/>
                  <w:t>35e72525-f56.pdf</w:t>
                </w:r>
              </w:hyperlink>
            </w:r>
          </w:p>
        </w:tc>
      </w:tr>
      <w:tr>
        <w:tc>
          <w:tcPr>
            <w:tcW w:type="dxa" w:w="5400"/>
          </w:tcPr>
          <w:p>
            <w:r>
              <w:rPr>
                <w:sz w:val="20"/>
              </w:rPr>
              <w:t>City of Victoria Letter of Support</w:t>
            </w:r>
          </w:p>
        </w:tc>
        <w:tc>
          <w:tcPr>
            <w:tcW w:type="dxa" w:w="5400"/>
          </w:tcPr>
          <w:p>
            <w:r>
              <w:rPr>
                <w:sz w:val="20"/>
              </w:rPr>
            </w:r>
            <w:r>
              <w:rPr>
                <w:color w:val="000000" w:themeColor="hyperlink"/>
                <w:sz w:val="20"/>
                <w:u w:val="single"/>
              </w:rPr>
              <w:hyperlink r:id="rId26">
                <w:r>
                  <w:rPr/>
                  <w:t>8164d10e-d55.pdf</w:t>
                </w:r>
              </w:hyperlink>
            </w:r>
          </w:p>
        </w:tc>
      </w:tr>
      <w:tr>
        <w:tc>
          <w:tcPr>
            <w:tcW w:type="dxa" w:w="5400"/>
          </w:tcPr>
          <w:p>
            <w:r>
              <w:rPr>
                <w:sz w:val="20"/>
              </w:rPr>
              <w:t>City of Wayzata Letter of Support</w:t>
            </w:r>
          </w:p>
        </w:tc>
        <w:tc>
          <w:tcPr>
            <w:tcW w:type="dxa" w:w="5400"/>
          </w:tcPr>
          <w:p>
            <w:r>
              <w:rPr>
                <w:sz w:val="20"/>
              </w:rPr>
            </w:r>
            <w:r>
              <w:rPr>
                <w:color w:val="000000" w:themeColor="hyperlink"/>
                <w:sz w:val="20"/>
                <w:u w:val="single"/>
              </w:rPr>
              <w:hyperlink r:id="rId27">
                <w:r>
                  <w:rPr/>
                  <w:t>10977cbe-a91.pdf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1f1f181-ad1.pdf" TargetMode="External"/><Relationship Id="rId13" Type="http://schemas.openxmlformats.org/officeDocument/2006/relationships/hyperlink" Target="https://lccmrprojectmgmt.leg.mn/media/attachments/4e409351-013.pdf" TargetMode="External"/><Relationship Id="rId14" Type="http://schemas.openxmlformats.org/officeDocument/2006/relationships/hyperlink" Target="https://lccmrprojectmgmt.leg.mn/media/attachments/de56a77b-280.pdf" TargetMode="External"/><Relationship Id="rId15" Type="http://schemas.openxmlformats.org/officeDocument/2006/relationships/hyperlink" Target="https://lccmrprojectmgmt.leg.mn/media/attachments/2f72934d-205.pdf" TargetMode="External"/><Relationship Id="rId16" Type="http://schemas.openxmlformats.org/officeDocument/2006/relationships/hyperlink" Target="https://lccmrprojectmgmt.leg.mn/media/attachments/b0553570-10b.pdf" TargetMode="External"/><Relationship Id="rId17" Type="http://schemas.openxmlformats.org/officeDocument/2006/relationships/hyperlink" Target="https://lccmrprojectmgmt.leg.mn/media/attachments/69c682c6-fb2.pdf" TargetMode="External"/><Relationship Id="rId18" Type="http://schemas.openxmlformats.org/officeDocument/2006/relationships/hyperlink" Target="https://lccmrprojectmgmt.leg.mn/media/attachments/306c750a-ab4.pdf" TargetMode="External"/><Relationship Id="rId19" Type="http://schemas.openxmlformats.org/officeDocument/2006/relationships/hyperlink" Target="https://lccmrprojectmgmt.leg.mn/media/attachments/da7c900a-a25.pdf" TargetMode="External"/><Relationship Id="rId20" Type="http://schemas.openxmlformats.org/officeDocument/2006/relationships/hyperlink" Target="https://lccmrprojectmgmt.leg.mn/media/attachments/0d2f38c5-2d0.pdf" TargetMode="External"/><Relationship Id="rId21" Type="http://schemas.openxmlformats.org/officeDocument/2006/relationships/hyperlink" Target="https://lccmrprojectmgmt.leg.mn/media/attachments/c31c2f7f-880.pdf" TargetMode="External"/><Relationship Id="rId22" Type="http://schemas.openxmlformats.org/officeDocument/2006/relationships/hyperlink" Target="https://lccmrprojectmgmt.leg.mn/media/attachments/b03378ab-d1d.pdf" TargetMode="External"/><Relationship Id="rId23" Type="http://schemas.openxmlformats.org/officeDocument/2006/relationships/hyperlink" Target="https://lccmrprojectmgmt.leg.mn/media/attachments/08497ccb-20c.pdf" TargetMode="External"/><Relationship Id="rId24" Type="http://schemas.openxmlformats.org/officeDocument/2006/relationships/hyperlink" Target="https://lccmrprojectmgmt.leg.mn/media/attachments/667fb967-295.pdf" TargetMode="External"/><Relationship Id="rId25" Type="http://schemas.openxmlformats.org/officeDocument/2006/relationships/hyperlink" Target="https://lccmrprojectmgmt.leg.mn/media/attachments/35e72525-f56.pdf" TargetMode="External"/><Relationship Id="rId26" Type="http://schemas.openxmlformats.org/officeDocument/2006/relationships/hyperlink" Target="https://lccmrprojectmgmt.leg.mn/media/attachments/8164d10e-d55.pdf" TargetMode="External"/><Relationship Id="rId27" Type="http://schemas.openxmlformats.org/officeDocument/2006/relationships/hyperlink" Target="https://lccmrprojectmgmt.leg.mn/media/attachments/10977cbe-a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Leveraging Innovations in Data Analytics for Project Implementation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