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2023-232</w:t>
      </w:r>
    </w:p>
    <w:p>
      <w:r>
        <w:rPr>
          <w:b/>
        </w:rPr>
        <w:t xml:space="preserve">Proposal Title: </w:t>
      </w:r>
      <w:r>
        <w:t>Community Response Monitoring for Adaptive Management</w:t>
      </w:r>
    </w:p>
    <w:p/>
    <w:p>
      <w:pPr>
        <w:pStyle w:val="Heading2"/>
        <w:spacing w:before="0" w:after="80"/>
      </w:pPr>
      <w:r>
        <w:rPr>
          <w:b/>
          <w:color w:val="2C559C"/>
          <w:sz w:val="28"/>
        </w:rPr>
        <w:t>Project Manager Information</w:t>
      </w:r>
    </w:p>
    <w:p>
      <w:r>
        <w:rPr>
          <w:b/>
        </w:rPr>
        <w:t xml:space="preserve">Name: </w:t>
      </w:r>
      <w:r>
        <w:t>David Ruff</w:t>
      </w:r>
    </w:p>
    <w:p>
      <w:r>
        <w:rPr>
          <w:b/>
        </w:rPr>
        <w:t xml:space="preserve">Organization: </w:t>
      </w:r>
      <w:r>
        <w:t>The Nature Conservancy</w:t>
      </w:r>
    </w:p>
    <w:p>
      <w:r>
        <w:rPr>
          <w:b/>
        </w:rPr>
        <w:t xml:space="preserve">Office Telephone: </w:t>
      </w:r>
      <w:r>
        <w:t>(507) 261-4954</w:t>
      </w:r>
    </w:p>
    <w:p>
      <w:r>
        <w:rPr>
          <w:b/>
        </w:rPr>
        <w:t xml:space="preserve">Email: </w:t>
      </w:r>
      <w:r>
        <w:t>david.ruff@tnc.org</w:t>
      </w:r>
    </w:p>
    <w:p/>
    <w:p>
      <w:pPr>
        <w:pStyle w:val="Heading2"/>
        <w:spacing w:before="0" w:after="80"/>
      </w:pPr>
      <w:r>
        <w:rPr>
          <w:b/>
          <w:color w:val="2C559C"/>
          <w:sz w:val="28"/>
        </w:rPr>
        <w:t>Project Basic Information</w:t>
      </w:r>
    </w:p>
    <w:p>
      <w:r>
        <w:rPr>
          <w:b/>
        </w:rPr>
        <w:t xml:space="preserve">Project Summary: </w:t>
      </w:r>
      <w:r>
        <w:t>Project goal is to monitor species response at a community level, in order to determine if management actions increase biodiversity and build ecosystem resiliency as intended.</w:t>
      </w:r>
    </w:p>
    <w:p>
      <w:r>
        <w:rPr>
          <w:b/>
        </w:rPr>
        <w:t xml:space="preserve">Funds Requested: </w:t>
      </w:r>
      <w:r>
        <w:t>$498,000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Within the two Conservation Focus Areas (CFAs) of Southeast MN, significant restoration and enhancement work has been occurring at a landscape scale, funded with a combination of Outdoor Heritage Fund (OHF) and Competitive State Wildlife Grant (CSWG) grants. This has included hundreds of acres of bluff prairie enhancement, targeted in areas with landscape resilience and connectivity. The general success or failure of those projects is typically assessed observationally. For Species in Greatest Conservation Need (SGCN), population trends are monitored by Minnesota's Natural Heritage and Nongame Research Program. However, those surveys are not sufficient to document the impact of specific management on plants, wildlife, and natural communities in a way that informs future management.</w:t>
        <w:br/>
        <w:br/>
        <w:t>Different bluff prairie sites have received a variety of treatment strategies, typically to control brush responses following initial removal of red-cedar, buckthorn, and honeysuckle. A properly designed monitoring program would provide information on the differing effects of prescribed fire, prescribed browsing with goats, manual brush removal, and herbicide treatment on the response of plant, insect, bird, and reptile communities. Assessing these impacts is a key step in adaptive management, and is critical for a partnership engaged in on-going, long-term, landscape scale ecosystem management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seek funding to conduct plant and wildlife community-level monitoring at multiple restoration and enhancement sites within the two Southeast MN CFAs. Surveys would focus on four broad taxa: plants, insects, birds, and reptiles. Sites would be strategically selected based on management history and expected future management projects to capture a range of management techniques and time since initial restoration, as well as currently untreated sites. The untreated sites would be a combination of control sites and places where we expect restoration to occur in the next several years. This will set up a potential study design for a future round of monitoring to follow a Before, After, Control, Impact (BACI) framework, allowing more robust conclusions to be drawn than are possible from single monitoring events.</w:t>
      </w:r>
    </w:p>
    <w:p>
      <w:pPr>
        <w:spacing w:after="60"/>
      </w:pPr>
      <w:r>
        <w:rPr>
          <w:b/>
        </w:rPr>
        <w:t xml:space="preserve">What are the specific project outcomes as they relate to the public purpose of protection, conservation, preservation, and enhancement of the state’s natural resources? </w:t>
      </w:r>
    </w:p>
    <w:p>
      <w:r>
        <w:t>The public funding available for conservation in Minnesota has given landscape-scale ecological restoration projects the long term stability to make a true and lasting impact. But lack of funds and/or a timing mismatch for monitoring efforts has limited the ability of land managers fully assess the impact of their management on ecosystems, a necessary component of adaptive management. Providing insight into the impact of ongoing restoration and enhancement work on plant and wildlife communities will improve the effectiveness of those management programs and increase the impact of millions of dollars of future conservation projects.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Community-level monitoring of plants, insects, birds, and reptiles at multiple sites in Southeast Minnesota.</w:t>
      </w:r>
    </w:p>
    <w:p>
      <w:r>
        <w:rPr>
          <w:b/>
        </w:rPr>
        <w:t xml:space="preserve">Activity Budget: </w:t>
      </w:r>
      <w:r>
        <w:t>$498,000</w:t>
      </w:r>
    </w:p>
    <w:p>
      <w:r>
        <w:rPr>
          <w:b/>
        </w:rPr>
        <w:t xml:space="preserve">Activity Description: </w:t>
        <w:br/>
      </w:r>
      <w:r>
        <w:t>Monitoring coordinator will select monitoring sites, schedule field work, and coordinate with other experts on the individual taxa being monitored. This will include: reviewing site management histories and plans to capture a variety of management strategies and intended future work, coordinating schedules with species experts, and setting and managing the project schedule to maximize data collected in each field season. Monitoring coordinator will work with taxa experts to collect data over two and a half field seasons, with the first half season being used to calibrate the number of plots needed at each site. After each field season, coordinator will analyze field data and complete a report documenting the methods and findings. At project conclusion, a general report will be prepared and shared with project stakeholders and the conservation community to communicate results and lessons from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Protocol testing and site variability assessments</w:t>
            </w:r>
          </w:p>
        </w:tc>
        <w:tc>
          <w:tcPr>
            <w:tcW w:type="dxa" w:w="2160"/>
          </w:tcPr>
          <w:p>
            <w:pPr>
              <w:jc w:val="right"/>
            </w:pPr>
            <w:r>
              <w:rPr>
                <w:sz w:val="20"/>
              </w:rPr>
              <w:t>October 31, 2023</w:t>
            </w:r>
          </w:p>
        </w:tc>
      </w:tr>
      <w:tr>
        <w:tc>
          <w:tcPr>
            <w:tcW w:type="dxa" w:w="8640"/>
          </w:tcPr>
          <w:p>
            <w:r>
              <w:rPr>
                <w:sz w:val="20"/>
              </w:rPr>
              <w:t>Partner and stakeholder meetings to plan and coordinate monitoring protocols and sites</w:t>
            </w:r>
          </w:p>
        </w:tc>
        <w:tc>
          <w:tcPr>
            <w:tcW w:type="dxa" w:w="2160"/>
          </w:tcPr>
          <w:p>
            <w:pPr>
              <w:jc w:val="right"/>
            </w:pPr>
            <w:r>
              <w:rPr>
                <w:sz w:val="20"/>
              </w:rPr>
              <w:t>February 28, 2024</w:t>
            </w:r>
          </w:p>
        </w:tc>
      </w:tr>
      <w:tr>
        <w:tc>
          <w:tcPr>
            <w:tcW w:type="dxa" w:w="8640"/>
          </w:tcPr>
          <w:p>
            <w:r>
              <w:rPr>
                <w:sz w:val="20"/>
              </w:rPr>
              <w:t>Field sites selected and surveys scheduled for first season</w:t>
            </w:r>
          </w:p>
        </w:tc>
        <w:tc>
          <w:tcPr>
            <w:tcW w:type="dxa" w:w="2160"/>
          </w:tcPr>
          <w:p>
            <w:pPr>
              <w:jc w:val="right"/>
            </w:pPr>
            <w:r>
              <w:rPr>
                <w:sz w:val="20"/>
              </w:rPr>
              <w:t>February 28, 2024</w:t>
            </w:r>
          </w:p>
        </w:tc>
      </w:tr>
      <w:tr>
        <w:tc>
          <w:tcPr>
            <w:tcW w:type="dxa" w:w="8640"/>
          </w:tcPr>
          <w:p>
            <w:r>
              <w:rPr>
                <w:sz w:val="20"/>
              </w:rPr>
              <w:t>First full monitoring season completed. Data organized and shared.</w:t>
            </w:r>
          </w:p>
        </w:tc>
        <w:tc>
          <w:tcPr>
            <w:tcW w:type="dxa" w:w="2160"/>
          </w:tcPr>
          <w:p>
            <w:pPr>
              <w:jc w:val="right"/>
            </w:pPr>
            <w:r>
              <w:rPr>
                <w:sz w:val="20"/>
              </w:rPr>
              <w:t>October 31, 2024</w:t>
            </w:r>
          </w:p>
        </w:tc>
      </w:tr>
      <w:tr>
        <w:tc>
          <w:tcPr>
            <w:tcW w:type="dxa" w:w="8640"/>
          </w:tcPr>
          <w:p>
            <w:r>
              <w:rPr>
                <w:sz w:val="20"/>
              </w:rPr>
              <w:t>Summary results from first field season available</w:t>
            </w:r>
          </w:p>
        </w:tc>
        <w:tc>
          <w:tcPr>
            <w:tcW w:type="dxa" w:w="2160"/>
          </w:tcPr>
          <w:p>
            <w:pPr>
              <w:jc w:val="right"/>
            </w:pPr>
            <w:r>
              <w:rPr>
                <w:sz w:val="20"/>
              </w:rPr>
              <w:t>December 31, 2024</w:t>
            </w:r>
          </w:p>
        </w:tc>
      </w:tr>
      <w:tr>
        <w:tc>
          <w:tcPr>
            <w:tcW w:type="dxa" w:w="8640"/>
          </w:tcPr>
          <w:p>
            <w:r>
              <w:rPr>
                <w:sz w:val="20"/>
              </w:rPr>
              <w:t>Second monitoring season completed. Data organized and shared.</w:t>
            </w:r>
          </w:p>
        </w:tc>
        <w:tc>
          <w:tcPr>
            <w:tcW w:type="dxa" w:w="2160"/>
          </w:tcPr>
          <w:p>
            <w:pPr>
              <w:jc w:val="right"/>
            </w:pPr>
            <w:r>
              <w:rPr>
                <w:sz w:val="20"/>
              </w:rPr>
              <w:t>October 31, 2025</w:t>
            </w:r>
          </w:p>
        </w:tc>
      </w:tr>
      <w:tr>
        <w:tc>
          <w:tcPr>
            <w:tcW w:type="dxa" w:w="8640"/>
          </w:tcPr>
          <w:p>
            <w:r>
              <w:rPr>
                <w:sz w:val="20"/>
              </w:rPr>
              <w:t>Summary results from second field season available.</w:t>
            </w:r>
          </w:p>
        </w:tc>
        <w:tc>
          <w:tcPr>
            <w:tcW w:type="dxa" w:w="2160"/>
          </w:tcPr>
          <w:p>
            <w:pPr>
              <w:jc w:val="right"/>
            </w:pPr>
            <w:r>
              <w:rPr>
                <w:sz w:val="20"/>
              </w:rPr>
              <w:t>December 31, 2025</w:t>
            </w:r>
          </w:p>
        </w:tc>
      </w:tr>
      <w:tr>
        <w:tc>
          <w:tcPr>
            <w:tcW w:type="dxa" w:w="8640"/>
          </w:tcPr>
          <w:p>
            <w:r>
              <w:rPr>
                <w:sz w:val="20"/>
              </w:rPr>
              <w:t>Final reports published. Data organized for archiving and shared with partners.</w:t>
            </w:r>
          </w:p>
        </w:tc>
        <w:tc>
          <w:tcPr>
            <w:tcW w:type="dxa" w:w="2160"/>
          </w:tcPr>
          <w:p>
            <w:pPr>
              <w:jc w:val="right"/>
            </w:pPr>
            <w:r>
              <w:rPr>
                <w:sz w:val="20"/>
              </w:rPr>
              <w:t>June 30, 2026</w:t>
            </w:r>
          </w:p>
        </w:tc>
      </w:tr>
      <w:tr>
        <w:tc>
          <w:tcPr>
            <w:tcW w:type="dxa" w:w="8640"/>
          </w:tcPr>
          <w:p>
            <w:r>
              <w:rPr>
                <w:sz w:val="20"/>
              </w:rPr>
              <w:t>Presentations and workshops with stakeholders and land managers to share results.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Kristin Hall</w:t>
            </w:r>
          </w:p>
        </w:tc>
        <w:tc>
          <w:tcPr>
            <w:tcW w:type="dxa" w:w="1440"/>
          </w:tcPr>
          <w:p>
            <w:r>
              <w:rPr>
                <w:sz w:val="20"/>
              </w:rPr>
              <w:t>Minnesota DNR</w:t>
            </w:r>
          </w:p>
        </w:tc>
        <w:tc>
          <w:tcPr>
            <w:tcW w:type="dxa" w:w="6840"/>
          </w:tcPr>
          <w:p>
            <w:r>
              <w:rPr>
                <w:sz w:val="20"/>
              </w:rPr>
              <w:t>MN Wildlife Action Plan Coordinator; coordinating DNR's involvement in the monitoring work.</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Results of this project will immediately help guide restoration and enhancement work being conducted in Southeast MN. Restoration and enhancement work is currently funded by Outdoor Heritage Funds and Competitive State Wildlife Grant funds, but future funding could also include other public and private grants. </w:t>
        <w:br/>
        <w:br/>
        <w:t>The results would also provide a baseline for future monitoring efforts conducted by the DNR, possibly funded through federal level grants. Additionally, future ENRTF money may be sought to help fund subsequent monitoring periods usable in a BACI framework, which will use the data collected through this award as a baseline.</w:t>
      </w:r>
    </w:p>
    <w:p>
      <w:pPr>
        <w:pStyle w:val="Heading2"/>
        <w:spacing w:before="0" w:after="80"/>
      </w:pPr>
      <w:r>
        <w:rPr>
          <w:b/>
          <w:color w:val="2C559C"/>
          <w:sz w:val="28"/>
        </w:rPr>
        <w:t>Project Manager and Organization Qualifications</w:t>
      </w:r>
    </w:p>
    <w:p>
      <w:r>
        <w:rPr>
          <w:b/>
        </w:rPr>
        <w:t xml:space="preserve">Project Manager Name: </w:t>
      </w:r>
      <w:r>
        <w:t>David Ruff</w:t>
      </w:r>
    </w:p>
    <w:p>
      <w:r>
        <w:rPr>
          <w:b/>
        </w:rPr>
        <w:t xml:space="preserve">Job Title: </w:t>
      </w:r>
      <w:r>
        <w:t>Conservation Project Manager</w:t>
      </w:r>
    </w:p>
    <w:p>
      <w:r>
        <w:rPr>
          <w:b/>
        </w:rPr>
        <w:t xml:space="preserve">Provide description of the project manager’s qualifications to manage the proposed project. </w:t>
        <w:br/>
      </w:r>
      <w:r>
        <w:t>David Ruff has been managing The Nature Conservancy’s work in Southeast MN since 2015. In that time, he has worked with landscape partners to develop Landscape Stewardship Plans for the Zumbro and Cannon River Watersheds using ENRTF funding. He has managed several protection, restoration, and enhancement projects funded through the Lessard-Sams Outdoor Heritage Fund. He serves as the vice-chair of the Southeast Landscape Committee of the Minnesota Forests Resources Council, and participates in several other landscape-level partnerships and technical advisory groups. He has significant experience working with public funds and completing complex projects within expected timelines.</w:t>
      </w:r>
    </w:p>
    <w:p>
      <w:r>
        <w:rPr>
          <w:b/>
        </w:rPr>
        <w:t xml:space="preserve">Organization: </w:t>
      </w:r>
      <w:r>
        <w:t>The Nature Conservancy</w:t>
      </w:r>
    </w:p>
    <w:p>
      <w:r>
        <w:rPr>
          <w:b/>
        </w:rPr>
        <w:t xml:space="preserve">Organization Description: </w:t>
        <w:br/>
      </w:r>
      <w:r>
        <w:t>Founded in 1951, the Nature Conservancy is a global conservation organization dedicated to conserving the lands and waters on which all life depends. Guided by science, we create innovative, on-the-ground solutions to our world's toughest challenges so that nature and people can thrive together. We are tackling climate change, conserving lands, waters and oceans at unprecedented scale, providing food and water sustainably and helping make cities more sustainable.  One of our core values is our commitment to diversity. Therefore, we strive for a globally diverse and culturally competent workforce. Working in 72 countries and in all 50 United States, we use a collaborative approach that engages local communities, governments, the private sector, and other partners. Since 1958, The Nature Conservancy has helped protect more than 650,000 acres of forests, prairies, rivers, lakes and wetlands in Minnesota. In Southeast Minnesota, The Nature Conservancy has been a leader in protecting and restoring habitat, as well as planning and coordination with diverse stakeholder groups to maximize effectiveness of conservation in Minnesota’s Blufflands region.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manager/monitoring coordinator</w:t>
            </w:r>
          </w:p>
        </w:tc>
        <w:tc>
          <w:tcPr>
            <w:tcW w:type="dxa" w:w="1440"/>
          </w:tcPr>
          <w:p>
            <w:r>
              <w:rPr>
                <w:sz w:val="20"/>
              </w:rPr>
            </w:r>
          </w:p>
        </w:tc>
        <w:tc>
          <w:tcPr>
            <w:tcW w:type="dxa" w:w="5472"/>
          </w:tcPr>
          <w:p>
            <w:r>
              <w:rPr>
                <w:sz w:val="20"/>
              </w:rPr>
              <w:t>Monitoring coordinator will be responsible for working with required partners and taxa experts, organizing field seasons, and collecting, organizing, and reporting on data. Also includes project management time for Monitoring Coordinator supervision and grant management.</w:t>
            </w:r>
          </w:p>
        </w:tc>
        <w:tc>
          <w:tcPr>
            <w:tcW w:type="dxa" w:w="4032"/>
          </w:tcPr>
          <w:p>
            <w:r>
              <w:rPr>
                <w:sz w:val="20"/>
              </w:rPr>
            </w:r>
          </w:p>
        </w:tc>
        <w:tc>
          <w:tcPr>
            <w:tcW w:type="dxa" w:w="360"/>
          </w:tcPr>
          <w:p>
            <w:r>
              <w:rPr>
                <w:sz w:val="20"/>
              </w:rPr>
            </w:r>
          </w:p>
        </w:tc>
        <w:tc>
          <w:tcPr>
            <w:tcW w:type="dxa" w:w="360"/>
          </w:tcPr>
          <w:p>
            <w:pPr>
              <w:jc w:val="right"/>
            </w:pPr>
            <w:r>
              <w:rPr>
                <w:sz w:val="20"/>
              </w:rPr>
              <w:t>31%</w:t>
            </w:r>
          </w:p>
        </w:tc>
        <w:tc>
          <w:tcPr>
            <w:tcW w:type="dxa" w:w="360"/>
          </w:tcPr>
          <w:p>
            <w:pPr>
              <w:jc w:val="right"/>
            </w:pPr>
            <w:r>
              <w:rPr>
                <w:sz w:val="20"/>
              </w:rPr>
              <w:t>3.3</w:t>
            </w:r>
          </w:p>
        </w:tc>
        <w:tc>
          <w:tcPr>
            <w:tcW w:type="dxa" w:w="360"/>
          </w:tcPr>
          <w:p>
            <w:r>
              <w:rPr>
                <w:sz w:val="20"/>
              </w:rPr>
            </w:r>
          </w:p>
        </w:tc>
        <w:tc>
          <w:tcPr>
            <w:tcW w:type="dxa" w:w="1152"/>
          </w:tcPr>
          <w:p>
            <w:pPr>
              <w:jc w:val="right"/>
            </w:pPr>
            <w:r>
              <w:rPr>
                <w:sz w:val="20"/>
              </w:rPr>
              <w:t>$283,500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$283,500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Contracted taxa experts/surveyors</w:t>
            </w:r>
          </w:p>
        </w:tc>
        <w:tc>
          <w:tcPr>
            <w:tcW w:type="dxa" w:w="1440"/>
          </w:tcPr>
          <w:p>
            <w:r>
              <w:rPr>
                <w:sz w:val="20"/>
              </w:rPr>
              <w:t>Professional or Technical Service Contract</w:t>
            </w:r>
          </w:p>
        </w:tc>
        <w:tc>
          <w:tcPr>
            <w:tcW w:type="dxa" w:w="5472"/>
          </w:tcPr>
          <w:p>
            <w:r>
              <w:rPr>
                <w:sz w:val="20"/>
              </w:rPr>
              <w:t>Provide expertise on individual taxa being monitored, including monitoring fieldwork either independently or working with monitoring coordinator.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$70,000</w:t>
            </w:r>
          </w:p>
        </w:tc>
      </w:tr>
      <w:tr>
        <w:tc>
          <w:tcPr>
            <w:tcW w:type="dxa" w:w="864"/>
          </w:tcPr>
          <w:p>
            <w:r>
              <w:rPr>
                <w:sz w:val="20"/>
              </w:rPr>
              <w:t>DNR Species/Taxa Experts</w:t>
            </w:r>
          </w:p>
        </w:tc>
        <w:tc>
          <w:tcPr>
            <w:tcW w:type="dxa" w:w="1440"/>
          </w:tcPr>
          <w:p>
            <w:r>
              <w:rPr>
                <w:sz w:val="20"/>
              </w:rPr>
              <w:t>Professional or Technical Service Contract</w:t>
            </w:r>
          </w:p>
        </w:tc>
        <w:tc>
          <w:tcPr>
            <w:tcW w:type="dxa" w:w="5472"/>
          </w:tcPr>
          <w:p>
            <w:r>
              <w:rPr>
                <w:sz w:val="20"/>
              </w:rPr>
              <w:t>DNR experts will advise on survey protocols and timing, and assist with fieldwork.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Tablet, computer, and other fieldwork supplies</w:t>
            </w:r>
          </w:p>
        </w:tc>
        <w:tc>
          <w:tcPr>
            <w:tcW w:type="dxa" w:w="4032"/>
          </w:tcPr>
          <w:p>
            <w:r>
              <w:rPr>
                <w:sz w:val="20"/>
              </w:rPr>
              <w:t>Tools for capturing, organizing, analyzing, and sharing field data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meals, lodging, and other travel costs for the monitoring coordinator to travel to field sites throughout the grant- approximately 30,000 miles.</w:t>
            </w:r>
          </w:p>
        </w:tc>
        <w:tc>
          <w:tcPr>
            <w:tcW w:type="dxa" w:w="4032"/>
          </w:tcPr>
          <w:p>
            <w:r>
              <w:rPr>
                <w:sz w:val="20"/>
              </w:rPr>
              <w:t>Monitoring coordinator will need to travel to field sites to conduct field work frequently throughout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Final report</w:t>
            </w:r>
          </w:p>
        </w:tc>
        <w:tc>
          <w:tcPr>
            <w:tcW w:type="dxa" w:w="4032"/>
          </w:tcPr>
          <w:p>
            <w:r>
              <w:rPr>
                <w:sz w:val="20"/>
              </w:rPr>
              <w:t>Share results of monitoring, including implications for management moving forward.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Tablet, computer, and other fieldwork supplies</w:t>
            </w:r>
          </w:p>
        </w:tc>
        <w:tc>
          <w:tcPr>
            <w:tcW w:type="dxa" w:w="7560"/>
          </w:tcPr>
          <w:p>
            <w:r>
              <w:rPr>
                <w:sz w:val="20"/>
              </w:rPr>
              <w:t>A tablet will be used to collect data in the field. A computer will be necessary for the Monitoring Coordinator to work effectively, organize and analyze data, and write reports to share learnings from the monitoring. a data plan may be needed for connectivity in the field.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State Wildlife Grant</w:t>
            </w:r>
          </w:p>
        </w:tc>
        <w:tc>
          <w:tcPr>
            <w:tcW w:type="dxa" w:w="6120"/>
          </w:tcPr>
          <w:p>
            <w:r>
              <w:rPr>
                <w:sz w:val="20"/>
              </w:rPr>
              <w:t>MN DNR Biometrician will contribute time to the project to help with protocol and study design.</w:t>
            </w:r>
          </w:p>
        </w:tc>
        <w:tc>
          <w:tcPr>
            <w:tcW w:type="dxa" w:w="1080"/>
          </w:tcPr>
          <w:p>
            <w:r>
              <w:rPr>
                <w:sz w:val="20"/>
              </w:rPr>
              <w:t>Secured</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27d615e2-68d.pdf</w:t>
          </w:r>
        </w:hyperlink>
      </w:r>
    </w:p>
    <w:p>
      <w:pPr>
        <w:pStyle w:val="Heading4"/>
        <w:spacing w:before="40" w:after="20"/>
      </w:pPr>
      <w:r>
        <w:rPr>
          <w:b/>
          <w:i/>
          <w:color w:val="000000"/>
          <w:sz w:val="24"/>
        </w:rPr>
        <w:t>Alternate Text for Visual Component</w:t>
      </w:r>
    </w:p>
    <w:p>
      <w:r>
        <w:t>Map showing location and amount of restored and enhanced bluff prairies in Southeast MN, with pictures of two common management techniques: prescribed fire and goat grazing. Text explains how this proposal would give insight into the effectiveness of different management techniques and lay groundwork for future studies....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c4777c29-e52.pdf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TNC Authorization Letter</w:t>
            </w:r>
          </w:p>
        </w:tc>
        <w:tc>
          <w:tcPr>
            <w:tcW w:type="dxa" w:w="5400"/>
          </w:tcPr>
          <w:p>
            <w:r>
              <w:rPr>
                <w:sz w:val="20"/>
              </w:rPr>
            </w:r>
            <w:r>
              <w:rPr>
                <w:color w:val="000000" w:themeColor="hyperlink"/>
                <w:sz w:val="20"/>
                <w:u w:val="single"/>
              </w:rPr>
              <w:hyperlink r:id="rId14">
                <w:r>
                  <w:rPr/>
                  <w:t>5a12cb2d-34b.docx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Audited Financial Statements for FY21</w:t>
            </w:r>
          </w:p>
        </w:tc>
        <w:tc>
          <w:tcPr>
            <w:tcW w:type="dxa" w:w="5400"/>
          </w:tcPr>
          <w:p>
            <w:r>
              <w:rPr>
                <w:sz w:val="20"/>
              </w:rPr>
            </w:r>
            <w:r>
              <w:rPr>
                <w:color w:val="000000" w:themeColor="hyperlink"/>
                <w:sz w:val="20"/>
                <w:u w:val="single"/>
              </w:rPr>
              <w:hyperlink r:id="rId15">
                <w:r>
                  <w:rPr/>
                  <w:t>08598af1-392.pdf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7d615e2-68d.pdf" TargetMode="External"/><Relationship Id="rId13" Type="http://schemas.openxmlformats.org/officeDocument/2006/relationships/hyperlink" Target="https://lccmrprojectmgmt.leg.mn/media/financial_capacity/c4777c29-e52.pdf" TargetMode="External"/><Relationship Id="rId14" Type="http://schemas.openxmlformats.org/officeDocument/2006/relationships/hyperlink" Target="https://lccmrprojectmgmt.leg.mn/media/attachments/5a12cb2d-34b.docx" TargetMode="External"/><Relationship Id="rId15" Type="http://schemas.openxmlformats.org/officeDocument/2006/relationships/hyperlink" Target="https://lccmrprojectmgmt.leg.mn/media/attachments/08598af1-3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Community Response Monitoring for Adaptive Management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