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2023-214</w:t>
      </w:r>
    </w:p>
    <w:p>
      <w:r>
        <w:rPr>
          <w:b/>
        </w:rPr>
        <w:t xml:space="preserve">Proposal Title: </w:t>
      </w:r>
      <w:r>
        <w:t>Mississippi River Learning Center</w:t>
      </w:r>
    </w:p>
    <w:p/>
    <w:p>
      <w:pPr>
        <w:pStyle w:val="Heading2"/>
        <w:spacing w:before="0" w:after="80"/>
      </w:pPr>
      <w:r>
        <w:rPr>
          <w:b/>
          <w:color w:val="2C559C"/>
          <w:sz w:val="28"/>
        </w:rPr>
        <w:t>Project Manager Information</w:t>
      </w:r>
    </w:p>
    <w:p>
      <w:r>
        <w:rPr>
          <w:b/>
        </w:rPr>
        <w:t xml:space="preserve">Name: </w:t>
      </w:r>
      <w:r>
        <w:t>Mary deLaittre</w:t>
      </w:r>
    </w:p>
    <w:p>
      <w:r>
        <w:rPr>
          <w:b/>
        </w:rPr>
        <w:t xml:space="preserve">Organization: </w:t>
      </w:r>
      <w:r>
        <w:t>Great River Passage Conservancy</w:t>
      </w:r>
    </w:p>
    <w:p>
      <w:r>
        <w:rPr>
          <w:b/>
        </w:rPr>
        <w:t xml:space="preserve">Office Telephone: </w:t>
      </w:r>
      <w:r>
        <w:t>(612) 398-5989</w:t>
      </w:r>
    </w:p>
    <w:p>
      <w:r>
        <w:rPr>
          <w:b/>
        </w:rPr>
        <w:t xml:space="preserve">Email: </w:t>
      </w:r>
      <w:r>
        <w:t>Mary@GreatRiverPassage.org</w:t>
      </w:r>
    </w:p>
    <w:p/>
    <w:p>
      <w:pPr>
        <w:pStyle w:val="Heading2"/>
        <w:spacing w:before="0" w:after="80"/>
      </w:pPr>
      <w:r>
        <w:rPr>
          <w:b/>
          <w:color w:val="2C559C"/>
          <w:sz w:val="28"/>
        </w:rPr>
        <w:t>Project Basic Information</w:t>
      </w:r>
    </w:p>
    <w:p>
      <w:r>
        <w:rPr>
          <w:b/>
        </w:rPr>
        <w:t xml:space="preserve">Project Summary: </w:t>
      </w:r>
      <w:r>
        <w:t>The Mississippi River Learning Center will be a place of restoration, reconnecting Saint Paul to the river and protecting and enhancing this vital area’s landscape, water, and habitat.</w:t>
      </w:r>
    </w:p>
    <w:p>
      <w:r>
        <w:rPr>
          <w:b/>
        </w:rPr>
        <w:t xml:space="preserve">Funds Requested: </w:t>
      </w:r>
      <w:r>
        <w:t>$1,818,000</w:t>
      </w:r>
    </w:p>
    <w:p>
      <w:r>
        <w:rPr>
          <w:b/>
        </w:rPr>
        <w:t xml:space="preserve">Proposed Project Completion: </w:t>
      </w:r>
      <w:r>
        <w:t>June 30, 2025</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One of the Conservancy’s three key projects, the Mississippi River Learning Center and National Park Service Headquarters addresses urgent ecological needs: due to pollution and loss of vital floodplains, the Mississippi is the 6th-most endangered river in the country, according to an April 2022 report by American Rivers, an influential Washington, D.C., environmental advocacy nonprofit. </w:t>
        <w:br/>
        <w:br/>
        <w:t>This area combines nature, culture, and history in a part of the Mississippi River without tow boat traffic, making it a safe and accessible site for river visitors. However, the 25-acre area has ecological and landscape challenges caused by previous attempts to develop the area. Due to the abandonment of a previous apartment building development attempt in 1969, 800 steel pilings are lodged 90 feet deep in the land between the two marina bays. Additionally, the land between the two bays is a jumbled landscape, infested with buckthorn. The overgrowth hides piles of concrete and asphalt, miscellaneous steel fragments, parts of boats and trailers, and concrete jersey barriers.</w:t>
        <w:br/>
        <w:br/>
        <w:t>These environmental issues have compromised the wildlife in the area, notably the migratory waterfowl that use the Mississippi River Flyway, as well as the endangered rusty patch bumblebee.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Located at the Watergate Marina at Crosby Farm Regional Park, the Mississippi River Learning Center will transform this currently isolated area into an easy-to-reach hub that strengthens the community’s connection to an incredible natural resource and inspires the next generation of park users and environmental stewards. </w:t>
        <w:br/>
        <w:t xml:space="preserve">With its two sheltered bays opening up the waterway in new ways, the Mississippi River Learning Center has the unique opportunity to become the gateway to the Mississippi River. To achieve this in an ecologically sustainable way requires the Conservancy to use design and implementation solutions that are light on the land and respond to the interplay of the site’s dynamic river conditions and sensitive riparian ecology. Our work at the RLC will solve environmental challenges by: </w:t>
        <w:br/>
        <w:br/>
        <w:t xml:space="preserve">• Reducing the spread of invasive species to heal the RLC area’s ecosystems and increase biodiversity </w:t>
        <w:br/>
        <w:t>• Supporting floodplains and other natural features that restore and preserve the vitality of the river and landscape to create a healthy environment for a range of wildlife, flora, and fauna</w:t>
        <w:br/>
        <w:t>• Connecting the landscape to adjacent restoration efforts at Crosby Farm and Hidden Falls Park</w:t>
      </w:r>
    </w:p>
    <w:p>
      <w:pPr>
        <w:spacing w:after="60"/>
      </w:pPr>
      <w:r>
        <w:rPr>
          <w:b/>
        </w:rPr>
        <w:t xml:space="preserve">What are the specific project outcomes as they relate to the public purpose of protection, conservation, preservation, and enhancement of the state’s natural resources? </w:t>
      </w:r>
    </w:p>
    <w:p>
      <w:r>
        <w:t xml:space="preserve">At the Mississippi River Learning Center site, we will complete a forward-thinking, light-on-the-land design and begin implementation to: </w:t>
        <w:br/>
        <w:t xml:space="preserve">   </w:t>
        <w:br/>
        <w:t xml:space="preserve">• Heal an environmentally disturbed landscape by advancing sustainable restoration, conservation, and resilience plans that protect flora and fauna, restore the flood plain, remove invasive species, and more—all coinciding with the City’s clean-up initiative </w:t>
        <w:br/>
        <w:t>• Create community spaces, trail systems, and features that protect and restore the area’s natural resources while also providing new access to the RLC for communities historically excluded from the site</w:t>
        <w:br/>
        <w:t>• Protect sacred and significant Dakota sites that are an essential part of the landscape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Design Development and Construction Documents</w:t>
      </w:r>
    </w:p>
    <w:p>
      <w:r>
        <w:rPr>
          <w:b/>
        </w:rPr>
        <w:t xml:space="preserve">Activity Budget: </w:t>
      </w:r>
      <w:r>
        <w:t>$1,154,000</w:t>
      </w:r>
    </w:p>
    <w:p>
      <w:r>
        <w:rPr>
          <w:b/>
        </w:rPr>
        <w:t xml:space="preserve">Activity Description: </w:t>
        <w:br/>
      </w:r>
      <w:r>
        <w:t>Building upon schematic design occurring in 2022, the design development and construction documents activity continues to gather community and stakeholder input while beginning to build detailed plans, budgets, and blueprints needed for more complex pieces of the projects. Throughout the process, we will ensure that all design decisions respond to the urgent need to protect and restore the lands, waters, and natural resources of the area. To that end, some restoration work will happen in conjunction with this phase.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Designer hired/engaged</w:t>
            </w:r>
          </w:p>
        </w:tc>
        <w:tc>
          <w:tcPr>
            <w:tcW w:type="dxa" w:w="2160"/>
          </w:tcPr>
          <w:p>
            <w:pPr>
              <w:jc w:val="right"/>
            </w:pPr>
            <w:r>
              <w:rPr>
                <w:sz w:val="20"/>
              </w:rPr>
              <w:t>July 31, 2023</w:t>
            </w:r>
          </w:p>
        </w:tc>
      </w:tr>
      <w:tr>
        <w:tc>
          <w:tcPr>
            <w:tcW w:type="dxa" w:w="8640"/>
          </w:tcPr>
          <w:p>
            <w:r>
              <w:rPr>
                <w:sz w:val="20"/>
              </w:rPr>
              <w:t>Philanthropic fundraising goals established</w:t>
            </w:r>
          </w:p>
        </w:tc>
        <w:tc>
          <w:tcPr>
            <w:tcW w:type="dxa" w:w="2160"/>
          </w:tcPr>
          <w:p>
            <w:pPr>
              <w:jc w:val="right"/>
            </w:pPr>
            <w:r>
              <w:rPr>
                <w:sz w:val="20"/>
              </w:rPr>
              <w:t>January 31, 2024</w:t>
            </w:r>
          </w:p>
        </w:tc>
      </w:tr>
      <w:tr>
        <w:tc>
          <w:tcPr>
            <w:tcW w:type="dxa" w:w="8640"/>
          </w:tcPr>
          <w:p>
            <w:r>
              <w:rPr>
                <w:sz w:val="20"/>
              </w:rPr>
              <w:t>50% of design complete</w:t>
            </w:r>
          </w:p>
        </w:tc>
        <w:tc>
          <w:tcPr>
            <w:tcW w:type="dxa" w:w="2160"/>
          </w:tcPr>
          <w:p>
            <w:pPr>
              <w:jc w:val="right"/>
            </w:pPr>
            <w:r>
              <w:rPr>
                <w:sz w:val="20"/>
              </w:rPr>
              <w:t>March 31, 2024</w:t>
            </w:r>
          </w:p>
        </w:tc>
      </w:tr>
      <w:tr>
        <w:tc>
          <w:tcPr>
            <w:tcW w:type="dxa" w:w="8640"/>
          </w:tcPr>
          <w:p>
            <w:r>
              <w:rPr>
                <w:sz w:val="20"/>
              </w:rPr>
              <w:t>Construction documents complete</w:t>
            </w:r>
          </w:p>
        </w:tc>
        <w:tc>
          <w:tcPr>
            <w:tcW w:type="dxa" w:w="2160"/>
          </w:tcPr>
          <w:p>
            <w:pPr>
              <w:jc w:val="right"/>
            </w:pPr>
            <w:r>
              <w:rPr>
                <w:sz w:val="20"/>
              </w:rPr>
              <w:t>November 30, 2024</w:t>
            </w:r>
          </w:p>
        </w:tc>
      </w:tr>
    </w:tbl>
    <w:p/>
    <w:p>
      <w:pPr>
        <w:pStyle w:val="Heading3"/>
        <w:spacing w:after="60"/>
      </w:pPr>
      <w:r>
        <w:rPr>
          <w:b/>
          <w:color w:val="254885"/>
          <w:sz w:val="26"/>
        </w:rPr>
        <w:t>Activity 2: Community engagement</w:t>
      </w:r>
    </w:p>
    <w:p>
      <w:r>
        <w:rPr>
          <w:b/>
        </w:rPr>
        <w:t xml:space="preserve">Activity Budget: </w:t>
      </w:r>
      <w:r>
        <w:t>$52,000</w:t>
      </w:r>
    </w:p>
    <w:p>
      <w:r>
        <w:rPr>
          <w:b/>
        </w:rPr>
        <w:t xml:space="preserve">Activity Description: </w:t>
        <w:br/>
      </w:r>
      <w:r>
        <w:t>Community engagement is integral to the Conservancy’s mission, informing and strengthening all the activities we will plan and implement throughout the River Learning Center project timeline. In partnership with the selected design team, our robust community engagement process will feature stakeholder meetings (e.g. business owners, tenants and community members in the project area, etc.), community meetings, surveys, and focus groups for communities historically excluded from design process. Community engagement also includes working with a Dakota consultant to lead Dakota-specific engagement. This effort is essential given that the area surrounding RLC is Dakota homeland, and we are committed to designing the RLC in ways that support cultural and historic preservation.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Dakota consultant hired to lead Dakota-specific engagement</w:t>
            </w:r>
          </w:p>
        </w:tc>
        <w:tc>
          <w:tcPr>
            <w:tcW w:type="dxa" w:w="2160"/>
          </w:tcPr>
          <w:p>
            <w:pPr>
              <w:jc w:val="right"/>
            </w:pPr>
            <w:r>
              <w:rPr>
                <w:sz w:val="20"/>
              </w:rPr>
              <w:t>July 31, 2023</w:t>
            </w:r>
          </w:p>
        </w:tc>
      </w:tr>
      <w:tr>
        <w:tc>
          <w:tcPr>
            <w:tcW w:type="dxa" w:w="8640"/>
          </w:tcPr>
          <w:p>
            <w:r>
              <w:rPr>
                <w:sz w:val="20"/>
              </w:rPr>
              <w:t>Dakota Tribal Convening held</w:t>
            </w:r>
          </w:p>
        </w:tc>
        <w:tc>
          <w:tcPr>
            <w:tcW w:type="dxa" w:w="2160"/>
          </w:tcPr>
          <w:p>
            <w:pPr>
              <w:jc w:val="right"/>
            </w:pPr>
            <w:r>
              <w:rPr>
                <w:sz w:val="20"/>
              </w:rPr>
              <w:t>January 31, 2024</w:t>
            </w:r>
          </w:p>
        </w:tc>
      </w:tr>
    </w:tbl>
    <w:p/>
    <w:p>
      <w:pPr>
        <w:pStyle w:val="Heading3"/>
        <w:spacing w:after="60"/>
      </w:pPr>
      <w:r>
        <w:rPr>
          <w:b/>
          <w:color w:val="254885"/>
          <w:sz w:val="26"/>
        </w:rPr>
        <w:t>Activity 3: Restoration, conservation and resilience plan implementation</w:t>
      </w:r>
    </w:p>
    <w:p>
      <w:r>
        <w:rPr>
          <w:b/>
        </w:rPr>
        <w:t xml:space="preserve">Activity Budget: </w:t>
      </w:r>
      <w:r>
        <w:t>$612,000</w:t>
      </w:r>
    </w:p>
    <w:p>
      <w:r>
        <w:rPr>
          <w:b/>
        </w:rPr>
        <w:t xml:space="preserve">Activity Description: </w:t>
        <w:br/>
      </w:r>
      <w:r>
        <w:t>Implementation plans identified in the design process such as site landscape restoration will likely include removal of 800 pilings, site and landscape clean-up as well as invasive species removal. This activity will also be coordinated with restoration work occurring in Crosby Farm and Hidden Falls Park.</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Restoration, conservation, resilience as identified in planning begins</w:t>
            </w:r>
          </w:p>
        </w:tc>
        <w:tc>
          <w:tcPr>
            <w:tcW w:type="dxa" w:w="2160"/>
          </w:tcPr>
          <w:p>
            <w:pPr>
              <w:jc w:val="right"/>
            </w:pPr>
            <w:r>
              <w:rPr>
                <w:sz w:val="20"/>
              </w:rPr>
              <w:t>September 30, 2024</w:t>
            </w:r>
          </w:p>
        </w:tc>
      </w:tr>
      <w:tr>
        <w:tc>
          <w:tcPr>
            <w:tcW w:type="dxa" w:w="8640"/>
          </w:tcPr>
          <w:p>
            <w:r>
              <w:rPr>
                <w:sz w:val="20"/>
              </w:rPr>
              <w:t>Initial landscape restoration work completed including clean up RLC site.</w:t>
            </w:r>
          </w:p>
        </w:tc>
        <w:tc>
          <w:tcPr>
            <w:tcW w:type="dxa" w:w="2160"/>
          </w:tcPr>
          <w:p>
            <w:pPr>
              <w:jc w:val="right"/>
            </w:pPr>
            <w:r>
              <w:rPr>
                <w:sz w:val="20"/>
              </w:rPr>
              <w:t>October 31, 2024</w:t>
            </w:r>
          </w:p>
        </w:tc>
      </w:tr>
      <w:tr>
        <w:tc>
          <w:tcPr>
            <w:tcW w:type="dxa" w:w="8640"/>
          </w:tcPr>
          <w:p>
            <w:r>
              <w:rPr>
                <w:sz w:val="20"/>
              </w:rPr>
              <w:t>Pilings removed from landscape</w:t>
            </w:r>
          </w:p>
        </w:tc>
        <w:tc>
          <w:tcPr>
            <w:tcW w:type="dxa" w:w="2160"/>
          </w:tcPr>
          <w:p>
            <w:pPr>
              <w:jc w:val="right"/>
            </w:pPr>
            <w:r>
              <w:rPr>
                <w:sz w:val="20"/>
              </w:rPr>
              <w:t>December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Alice Messer</w:t>
            </w:r>
          </w:p>
        </w:tc>
        <w:tc>
          <w:tcPr>
            <w:tcW w:type="dxa" w:w="1440"/>
          </w:tcPr>
          <w:p>
            <w:r>
              <w:rPr>
                <w:sz w:val="20"/>
              </w:rPr>
              <w:t>City of St. Paul, Parks and Recreation</w:t>
            </w:r>
          </w:p>
        </w:tc>
        <w:tc>
          <w:tcPr>
            <w:tcW w:type="dxa" w:w="6840"/>
          </w:tcPr>
          <w:p>
            <w:r>
              <w:rPr>
                <w:sz w:val="20"/>
              </w:rPr>
              <w:t>Landowner and oversight of capital projects related to design and implementation in Mississippi River Learning Center</w:t>
            </w:r>
          </w:p>
        </w:tc>
        <w:tc>
          <w:tcPr>
            <w:tcW w:type="dxa" w:w="1080"/>
          </w:tcPr>
          <w:p>
            <w:r>
              <w:rPr>
                <w:sz w:val="20"/>
              </w:rPr>
              <w:t>Yes</w:t>
            </w:r>
          </w:p>
        </w:tc>
      </w:tr>
      <w:tr>
        <w:tc>
          <w:tcPr>
            <w:tcW w:type="dxa" w:w="1440"/>
          </w:tcPr>
          <w:p>
            <w:r>
              <w:rPr>
                <w:sz w:val="20"/>
              </w:rPr>
              <w:t>Sam Olbekson</w:t>
            </w:r>
          </w:p>
        </w:tc>
        <w:tc>
          <w:tcPr>
            <w:tcW w:type="dxa" w:w="1440"/>
          </w:tcPr>
          <w:p>
            <w:r>
              <w:rPr>
                <w:sz w:val="20"/>
              </w:rPr>
              <w:t>Full Circle Indigenous Design</w:t>
            </w:r>
          </w:p>
        </w:tc>
        <w:tc>
          <w:tcPr>
            <w:tcW w:type="dxa" w:w="6840"/>
          </w:tcPr>
          <w:p>
            <w:r>
              <w:rPr>
                <w:sz w:val="20"/>
              </w:rPr>
              <w:t>Community engagement of Dakota Peoples throughout design process of Mississippi River Learning Center.</w:t>
            </w:r>
          </w:p>
        </w:tc>
        <w:tc>
          <w:tcPr>
            <w:tcW w:type="dxa" w:w="1080"/>
          </w:tcPr>
          <w:p>
            <w:r>
              <w:rPr>
                <w:sz w:val="20"/>
              </w:rPr>
              <w:t>Yes</w:t>
            </w:r>
          </w:p>
        </w:tc>
      </w:tr>
      <w:tr>
        <w:tc>
          <w:tcPr>
            <w:tcW w:type="dxa" w:w="1440"/>
          </w:tcPr>
          <w:p>
            <w:r>
              <w:rPr>
                <w:sz w:val="20"/>
              </w:rPr>
              <w:t>Matthew Tucker Blythe</w:t>
            </w:r>
          </w:p>
        </w:tc>
        <w:tc>
          <w:tcPr>
            <w:tcW w:type="dxa" w:w="1440"/>
          </w:tcPr>
          <w:p>
            <w:r>
              <w:rPr>
                <w:sz w:val="20"/>
              </w:rPr>
              <w:t>National Park Service</w:t>
            </w:r>
          </w:p>
        </w:tc>
        <w:tc>
          <w:tcPr>
            <w:tcW w:type="dxa" w:w="6840"/>
          </w:tcPr>
          <w:p>
            <w:r>
              <w:rPr>
                <w:sz w:val="20"/>
              </w:rPr>
              <w:t>Superintendent of Mississippi National River and Recreation Area, programming in and around Mississippi River Learning Center and community engagement in design process and implementation for Mississippi River Learning Center.</w:t>
            </w:r>
          </w:p>
        </w:tc>
        <w:tc>
          <w:tcPr>
            <w:tcW w:type="dxa" w:w="1080"/>
          </w:tcPr>
          <w:p>
            <w:r>
              <w:rPr>
                <w:sz w:val="20"/>
              </w:rPr>
              <w:t>No</w:t>
            </w:r>
          </w:p>
        </w:tc>
      </w:tr>
      <w:tr>
        <w:tc>
          <w:tcPr>
            <w:tcW w:type="dxa" w:w="1440"/>
          </w:tcPr>
          <w:p>
            <w:r>
              <w:rPr>
                <w:sz w:val="20"/>
              </w:rPr>
              <w:t>Katie Nyberg</w:t>
            </w:r>
          </w:p>
        </w:tc>
        <w:tc>
          <w:tcPr>
            <w:tcW w:type="dxa" w:w="1440"/>
          </w:tcPr>
          <w:p>
            <w:r>
              <w:rPr>
                <w:sz w:val="20"/>
              </w:rPr>
              <w:t>Mississippi Park Connection</w:t>
            </w:r>
          </w:p>
        </w:tc>
        <w:tc>
          <w:tcPr>
            <w:tcW w:type="dxa" w:w="6840"/>
          </w:tcPr>
          <w:p>
            <w:r>
              <w:rPr>
                <w:sz w:val="20"/>
              </w:rPr>
              <w:t>Fundraising, programming in and around Mississippi River Learning Center and community engagement in design process and implementation for Mississippi River Learning Center landscape</w:t>
            </w:r>
          </w:p>
        </w:tc>
        <w:tc>
          <w:tcPr>
            <w:tcW w:type="dxa" w:w="1080"/>
          </w:tcPr>
          <w:p>
            <w:r>
              <w:rPr>
                <w:sz w:val="20"/>
              </w:rPr>
              <w:t>No</w:t>
            </w:r>
          </w:p>
        </w:tc>
      </w:tr>
      <w:tr>
        <w:tc>
          <w:tcPr>
            <w:tcW w:type="dxa" w:w="1440"/>
          </w:tcPr>
          <w:p>
            <w:r>
              <w:rPr>
                <w:sz w:val="20"/>
              </w:rPr>
              <w:t>Erika Rivers</w:t>
            </w:r>
          </w:p>
        </w:tc>
        <w:tc>
          <w:tcPr>
            <w:tcW w:type="dxa" w:w="1440"/>
          </w:tcPr>
          <w:p>
            <w:r>
              <w:rPr>
                <w:sz w:val="20"/>
              </w:rPr>
              <w:t>Wilderness Inquiry</w:t>
            </w:r>
          </w:p>
        </w:tc>
        <w:tc>
          <w:tcPr>
            <w:tcW w:type="dxa" w:w="6840"/>
          </w:tcPr>
          <w:p>
            <w:r>
              <w:rPr>
                <w:sz w:val="20"/>
              </w:rPr>
              <w:t>Fundraising, programming, community engagement and future tenant of building at Mississippi River Learning Center</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RLC will benefit from the Conservancy’s River Balcony capital project being further along on its timeline, allowing us to use that implementation approach as a model. Funding-wise, sustainability will be strengthened by being part of our combined capital campaign effort, whose public/private fundraising strategies were informed by our partnership with the City. RLC program collaborators Mississippi Park Connection and Wilderness Inquiry are fundraising. The National Park Service and Wilderness Inquiry will move their headquarters here and become tenants providing annual operating revenue into the future.</w:t>
      </w:r>
    </w:p>
    <w:p>
      <w:pPr>
        <w:pStyle w:val="Heading2"/>
        <w:spacing w:before="0" w:after="80"/>
      </w:pPr>
      <w:r>
        <w:rPr>
          <w:b/>
          <w:color w:val="2C559C"/>
          <w:sz w:val="28"/>
        </w:rPr>
        <w:t>Project Manager and Organization Qualifications</w:t>
      </w:r>
    </w:p>
    <w:p>
      <w:r>
        <w:rPr>
          <w:b/>
        </w:rPr>
        <w:t xml:space="preserve">Project Manager Name: </w:t>
      </w:r>
      <w:r>
        <w:t>Mary deLaittre</w:t>
      </w:r>
    </w:p>
    <w:p>
      <w:r>
        <w:rPr>
          <w:b/>
        </w:rPr>
        <w:t xml:space="preserve">Job Title: </w:t>
      </w:r>
      <w:r>
        <w:t>Executive Director, Great River Passage Conservancy</w:t>
      </w:r>
    </w:p>
    <w:p>
      <w:r>
        <w:rPr>
          <w:b/>
        </w:rPr>
        <w:t xml:space="preserve">Provide description of the project manager’s qualifications to manage the proposed project. </w:t>
        <w:br/>
      </w:r>
      <w:r>
        <w:t>Mary deLaittre is the Founding Executive Director of the Great River Passage Conservancy and former Manager of the Great River Passage Initiative. Drawing on 25 years of community design experience, she conceives major city-building projects and develops sustainable organizational structures to ensure the long-term success of projects.</w:t>
        <w:br/>
        <w:br/>
        <w:t>As founder and principal of Groundwork: The Foundation for City Building, she has focused on enhancing waterfront development. She led Wayzata’s Lake Effect Park Project, the transformation of the city’s Lake Minnetonka shoreline and the creation of the private fundraising entity for the park – the Lake Effect Conservancy. On behalf of the Minneapolis Park and Recreation Board, she developed and managed RiverFirst, a revitalization effort along 5.5 miles of the Mississippi River. Finally, she co-founded and consulted for 2020 Partners, a public-private partnership that facilitated the transformation of a downtown Minneapolis industrial district into a new urban center.</w:t>
        <w:br/>
        <w:br/>
        <w:t>Previously, deLaittre was the executive director of the Minneapolis Parks Foundation, where she galvanized the organization around a new mission of creating the Next Generation of Parks™. She received a bachelor of arts in art history from Brown University and a masters of architecture with a focus on urban design from the University of Minnesota.</w:t>
      </w:r>
    </w:p>
    <w:p>
      <w:r>
        <w:rPr>
          <w:b/>
        </w:rPr>
        <w:t xml:space="preserve">Organization: </w:t>
      </w:r>
      <w:r>
        <w:t>Great River Passage Conservancy</w:t>
      </w:r>
    </w:p>
    <w:p>
      <w:r>
        <w:rPr>
          <w:b/>
        </w:rPr>
        <w:t xml:space="preserve">Organization Description: </w:t>
        <w:br/>
      </w:r>
      <w:r>
        <w:t xml:space="preserve">The Great River Passage Conservancy rallies philanthropic support for the City of St. Paul’s Great River Passage Initiative. Our mission—to raise resources that support the community’s vision for connecting Saint Paul’s two greatest assets, its people and the Mississippi River—responds to environmental challenges as we partner with the city to advance forward-thinking initiatives that preserve and protect our 17 miles of river. To that end, the Conservancy is focused on three key capital projects:  </w:t>
        <w:br/>
        <w:t xml:space="preserve">  </w:t>
        <w:br/>
        <w:t xml:space="preserve">• The Mississippi River Learning Center is a city-led project combining a mixed-use, river-focused space that will serve as a national gateway to the Mississippi and provide year-round experiences of the land, water, and culture of the river.  </w:t>
        <w:br/>
        <w:t xml:space="preserve">  </w:t>
        <w:br/>
        <w:t xml:space="preserve">• The River Balcony is a proposed 1.5-mile promenade along the downtown river bluff that will connect public spaces, civic landmarks, and development sites, providing new connections to the river.  </w:t>
        <w:br/>
        <w:t xml:space="preserve">  </w:t>
        <w:br/>
        <w:t>• The East Side River District (ESRD) encompasses a dynamic 1000-acre urban landscape that reveals the complex systems and stories of the East Side, heals a compromised landscape, connects the area to the broader city, and protects culturally sacred sites and sensitive ecological systems.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Mary delaittre</w:t>
            </w:r>
          </w:p>
        </w:tc>
        <w:tc>
          <w:tcPr>
            <w:tcW w:type="dxa" w:w="1440"/>
          </w:tcPr>
          <w:p>
            <w:r>
              <w:rPr>
                <w:sz w:val="20"/>
              </w:rPr>
              <w:t>Professional or Technical Service Contract</w:t>
            </w:r>
          </w:p>
        </w:tc>
        <w:tc>
          <w:tcPr>
            <w:tcW w:type="dxa" w:w="5472"/>
          </w:tcPr>
          <w:p>
            <w:r>
              <w:rPr>
                <w:sz w:val="20"/>
              </w:rPr>
              <w:t>Strategic direction and oversight of project management; partner and collaboration management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0.27</w:t>
            </w:r>
          </w:p>
        </w:tc>
        <w:tc>
          <w:tcPr>
            <w:tcW w:type="dxa" w:w="360"/>
          </w:tcPr>
          <w:p>
            <w:r>
              <w:rPr>
                <w:sz w:val="20"/>
              </w:rPr>
            </w:r>
          </w:p>
        </w:tc>
        <w:tc>
          <w:tcPr>
            <w:tcW w:type="dxa" w:w="1152"/>
          </w:tcPr>
          <w:p>
            <w:pPr>
              <w:jc w:val="right"/>
            </w:pPr>
            <w:r>
              <w:rPr>
                <w:sz w:val="20"/>
              </w:rPr>
              <w:t>$48,000</w:t>
            </w:r>
          </w:p>
        </w:tc>
      </w:tr>
      <w:tr>
        <w:tc>
          <w:tcPr>
            <w:tcW w:type="dxa" w:w="864"/>
          </w:tcPr>
          <w:p>
            <w:r>
              <w:rPr>
                <w:sz w:val="20"/>
              </w:rPr>
              <w:t>Laura Bray</w:t>
            </w:r>
          </w:p>
        </w:tc>
        <w:tc>
          <w:tcPr>
            <w:tcW w:type="dxa" w:w="1440"/>
          </w:tcPr>
          <w:p>
            <w:r>
              <w:rPr>
                <w:sz w:val="20"/>
              </w:rPr>
              <w:t>Professional or Technical Service Contract</w:t>
            </w:r>
          </w:p>
        </w:tc>
        <w:tc>
          <w:tcPr>
            <w:tcW w:type="dxa" w:w="5472"/>
          </w:tcPr>
          <w:p>
            <w:r>
              <w:rPr>
                <w:sz w:val="20"/>
              </w:rPr>
              <w:t>Communications support for community engagement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0.13</w:t>
            </w:r>
          </w:p>
        </w:tc>
        <w:tc>
          <w:tcPr>
            <w:tcW w:type="dxa" w:w="360"/>
          </w:tcPr>
          <w:p>
            <w:r>
              <w:rPr>
                <w:sz w:val="20"/>
              </w:rPr>
            </w:r>
          </w:p>
        </w:tc>
        <w:tc>
          <w:tcPr>
            <w:tcW w:type="dxa" w:w="1152"/>
          </w:tcPr>
          <w:p>
            <w:pPr>
              <w:jc w:val="right"/>
            </w:pPr>
            <w:r>
              <w:rPr>
                <w:sz w:val="20"/>
              </w:rPr>
              <w:t>$24,000</w:t>
            </w:r>
          </w:p>
        </w:tc>
      </w:tr>
      <w:tr>
        <w:tc>
          <w:tcPr>
            <w:tcW w:type="dxa" w:w="864"/>
          </w:tcPr>
          <w:p>
            <w:r>
              <w:rPr>
                <w:sz w:val="20"/>
              </w:rPr>
              <w:t>City of St. Paul</w:t>
            </w:r>
          </w:p>
        </w:tc>
        <w:tc>
          <w:tcPr>
            <w:tcW w:type="dxa" w:w="1440"/>
          </w:tcPr>
          <w:p>
            <w:r>
              <w:rPr>
                <w:sz w:val="20"/>
              </w:rPr>
              <w:t>Sub award</w:t>
            </w:r>
          </w:p>
        </w:tc>
        <w:tc>
          <w:tcPr>
            <w:tcW w:type="dxa" w:w="5472"/>
          </w:tcPr>
          <w:p>
            <w:r>
              <w:rPr>
                <w:sz w:val="20"/>
              </w:rPr>
              <w:t>Project Management of design development, construction; Will hire and engage designer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0.38</w:t>
            </w:r>
          </w:p>
        </w:tc>
        <w:tc>
          <w:tcPr>
            <w:tcW w:type="dxa" w:w="360"/>
          </w:tcPr>
          <w:p>
            <w:r>
              <w:rPr>
                <w:sz w:val="20"/>
              </w:rPr>
            </w:r>
          </w:p>
        </w:tc>
        <w:tc>
          <w:tcPr>
            <w:tcW w:type="dxa" w:w="1152"/>
          </w:tcPr>
          <w:p>
            <w:pPr>
              <w:jc w:val="right"/>
            </w:pPr>
            <w:r>
              <w:rPr>
                <w:sz w:val="20"/>
              </w:rPr>
              <w:t>$1,100,000</w:t>
            </w:r>
          </w:p>
        </w:tc>
      </w:tr>
      <w:tr>
        <w:tc>
          <w:tcPr>
            <w:tcW w:type="dxa" w:w="864"/>
          </w:tcPr>
          <w:p>
            <w:r>
              <w:rPr>
                <w:sz w:val="20"/>
              </w:rPr>
              <w:t>Full Circle Indigenous Design</w:t>
            </w:r>
          </w:p>
        </w:tc>
        <w:tc>
          <w:tcPr>
            <w:tcW w:type="dxa" w:w="1440"/>
          </w:tcPr>
          <w:p>
            <w:r>
              <w:rPr>
                <w:sz w:val="20"/>
              </w:rPr>
              <w:t>Professional or Technical Service Contract</w:t>
            </w:r>
          </w:p>
        </w:tc>
        <w:tc>
          <w:tcPr>
            <w:tcW w:type="dxa" w:w="5472"/>
          </w:tcPr>
          <w:p>
            <w:r>
              <w:rPr>
                <w:sz w:val="20"/>
              </w:rPr>
              <w:t>Community engagement for Dakota Tribes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0.25</w:t>
            </w:r>
          </w:p>
        </w:tc>
        <w:tc>
          <w:tcPr>
            <w:tcW w:type="dxa" w:w="360"/>
          </w:tcPr>
          <w:p>
            <w:r>
              <w:rPr>
                <w:sz w:val="20"/>
              </w:rPr>
            </w:r>
          </w:p>
        </w:tc>
        <w:tc>
          <w:tcPr>
            <w:tcW w:type="dxa" w:w="1152"/>
          </w:tcPr>
          <w:p>
            <w:pPr>
              <w:jc w:val="right"/>
            </w:pPr>
            <w:r>
              <w:rPr>
                <w:sz w:val="20"/>
              </w:rPr>
              <w:t>$36,000</w:t>
            </w:r>
          </w:p>
        </w:tc>
      </w:tr>
      <w:tr>
        <w:tc>
          <w:tcPr>
            <w:tcW w:type="dxa" w:w="864"/>
          </w:tcPr>
          <w:p>
            <w:r>
              <w:rPr>
                <w:sz w:val="20"/>
              </w:rPr>
              <w:t>AmplifyDMC</w:t>
            </w:r>
          </w:p>
        </w:tc>
        <w:tc>
          <w:tcPr>
            <w:tcW w:type="dxa" w:w="1440"/>
          </w:tcPr>
          <w:p>
            <w:r>
              <w:rPr>
                <w:sz w:val="20"/>
              </w:rPr>
              <w:t>Professional or Technical Service Contract</w:t>
            </w:r>
          </w:p>
        </w:tc>
        <w:tc>
          <w:tcPr>
            <w:tcW w:type="dxa" w:w="5472"/>
          </w:tcPr>
          <w:p>
            <w:r>
              <w:rPr>
                <w:sz w:val="20"/>
              </w:rPr>
              <w:t>Communications, copy-writing and graphic design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0.06</w:t>
            </w:r>
          </w:p>
        </w:tc>
        <w:tc>
          <w:tcPr>
            <w:tcW w:type="dxa" w:w="360"/>
          </w:tcPr>
          <w:p>
            <w:r>
              <w:rPr>
                <w:sz w:val="20"/>
              </w:rPr>
            </w:r>
          </w:p>
        </w:tc>
        <w:tc>
          <w:tcPr>
            <w:tcW w:type="dxa" w:w="1152"/>
          </w:tcPr>
          <w:p>
            <w:pPr>
              <w:jc w:val="right"/>
            </w:pPr>
            <w:r>
              <w:rPr>
                <w:sz w:val="20"/>
              </w:rPr>
              <w:t>$10,000</w:t>
            </w:r>
          </w:p>
        </w:tc>
      </w:tr>
      <w:tr>
        <w:tc>
          <w:tcPr>
            <w:tcW w:type="dxa" w:w="864"/>
          </w:tcPr>
          <w:p>
            <w:r>
              <w:rPr>
                <w:sz w:val="20"/>
              </w:rPr>
              <w:t>City of St. Paul</w:t>
            </w:r>
          </w:p>
        </w:tc>
        <w:tc>
          <w:tcPr>
            <w:tcW w:type="dxa" w:w="1440"/>
          </w:tcPr>
          <w:p>
            <w:r>
              <w:rPr>
                <w:sz w:val="20"/>
              </w:rPr>
              <w:t>Sub award</w:t>
            </w:r>
          </w:p>
        </w:tc>
        <w:tc>
          <w:tcPr>
            <w:tcW w:type="dxa" w:w="5472"/>
          </w:tcPr>
          <w:p>
            <w:r>
              <w:rPr>
                <w:sz w:val="20"/>
              </w:rPr>
              <w:t>Contractor to remove pilings on site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0.06</w:t>
            </w:r>
          </w:p>
        </w:tc>
        <w:tc>
          <w:tcPr>
            <w:tcW w:type="dxa" w:w="360"/>
          </w:tcPr>
          <w:p>
            <w:r>
              <w:rPr>
                <w:sz w:val="20"/>
              </w:rPr>
            </w:r>
          </w:p>
        </w:tc>
        <w:tc>
          <w:tcPr>
            <w:tcW w:type="dxa" w:w="1152"/>
          </w:tcPr>
          <w:p>
            <w:pPr>
              <w:jc w:val="right"/>
            </w:pPr>
            <w:r>
              <w:rPr>
                <w:sz w:val="20"/>
              </w:rPr>
              <w:t>$400,000</w:t>
            </w:r>
          </w:p>
        </w:tc>
      </w:tr>
      <w:tr>
        <w:tc>
          <w:tcPr>
            <w:tcW w:type="dxa" w:w="864"/>
          </w:tcPr>
          <w:p>
            <w:r>
              <w:rPr>
                <w:sz w:val="20"/>
              </w:rPr>
              <w:t>City of St. Paul</w:t>
            </w:r>
          </w:p>
        </w:tc>
        <w:tc>
          <w:tcPr>
            <w:tcW w:type="dxa" w:w="1440"/>
          </w:tcPr>
          <w:p>
            <w:r>
              <w:rPr>
                <w:sz w:val="20"/>
              </w:rPr>
              <w:t>Sub award</w:t>
            </w:r>
          </w:p>
        </w:tc>
        <w:tc>
          <w:tcPr>
            <w:tcW w:type="dxa" w:w="5472"/>
          </w:tcPr>
          <w:p>
            <w:r>
              <w:rPr>
                <w:sz w:val="20"/>
              </w:rPr>
              <w:t>Site clean up and restoration of flood plain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$100,000</w:t>
            </w:r>
          </w:p>
        </w:tc>
      </w:tr>
      <w:tr>
        <w:tc>
          <w:tcPr>
            <w:tcW w:type="dxa" w:w="864"/>
          </w:tcPr>
          <w:p>
            <w:r>
              <w:rPr>
                <w:sz w:val="20"/>
              </w:rPr>
              <w:t>Mississippi Park Connection</w:t>
            </w:r>
          </w:p>
        </w:tc>
        <w:tc>
          <w:tcPr>
            <w:tcW w:type="dxa" w:w="1440"/>
          </w:tcPr>
          <w:p>
            <w:r>
              <w:rPr>
                <w:sz w:val="20"/>
              </w:rPr>
              <w:t>Sub award</w:t>
            </w:r>
          </w:p>
        </w:tc>
        <w:tc>
          <w:tcPr>
            <w:tcW w:type="dxa" w:w="5472"/>
          </w:tcPr>
          <w:p>
            <w:r>
              <w:rPr>
                <w:sz w:val="20"/>
              </w:rPr>
              <w:t>Site cleanup and landscape restoration; engagement of Conservation Corps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$100,000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$1,818,000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$1,818,000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Mississippi River Learning Center</w:t>
            </w:r>
          </w:p>
        </w:tc>
        <w:tc>
          <w:tcPr>
            <w:tcW w:type="dxa" w:w="1440"/>
          </w:tcPr>
          <w:p>
            <w:r>
              <w:rPr>
                <w:sz w:val="20"/>
              </w:rPr>
              <w:t>Ramsey</w:t>
            </w:r>
          </w:p>
        </w:tc>
        <w:tc>
          <w:tcPr>
            <w:tcW w:type="dxa" w:w="3888"/>
          </w:tcPr>
          <w:p>
            <w:r>
              <w:rPr>
                <w:sz w:val="20"/>
              </w:rPr>
              <w:t>Sits within the Mississippi National River and Recreation Area and is adjacent to the   West 7th neighborhood in Saint Paul, Minnesota. It lies within B’dote, a sacred site to Dakota people, which is located at the confluence of the Mississippi and Minnesota Rivers.</w:t>
            </w:r>
          </w:p>
        </w:tc>
        <w:tc>
          <w:tcPr>
            <w:tcW w:type="dxa" w:w="1080"/>
          </w:tcPr>
          <w:p>
            <w:r>
              <w:rPr>
                <w:sz w:val="20"/>
              </w:rPr>
              <w:t>Restoration</w:t>
            </w:r>
          </w:p>
        </w:tc>
        <w:tc>
          <w:tcPr>
            <w:tcW w:type="dxa" w:w="432"/>
          </w:tcPr>
          <w:p>
            <w:pPr>
              <w:jc w:val="right"/>
            </w:pPr>
            <w:r>
              <w:rPr>
                <w:sz w:val="20"/>
              </w:rPr>
              <w:t>25</w:t>
            </w:r>
          </w:p>
        </w:tc>
        <w:tc>
          <w:tcPr>
            <w:tcW w:type="dxa" w:w="432"/>
          </w:tcPr>
          <w:p>
            <w:pPr>
              <w:jc w:val="right"/>
            </w:pPr>
            <w:r>
              <w:rPr>
                <w:sz w:val="20"/>
              </w:rPr>
              <w:t>-</w:t>
            </w:r>
          </w:p>
        </w:tc>
        <w:tc>
          <w:tcPr>
            <w:tcW w:type="dxa" w:w="1080"/>
          </w:tcPr>
          <w:p>
            <w:pPr>
              <w:jc w:val="right"/>
            </w:pPr>
            <w:r>
              <w:rPr>
                <w:sz w:val="20"/>
              </w:rPr>
              <w:t>$8,500,000</w:t>
            </w:r>
          </w:p>
        </w:tc>
        <w:tc>
          <w:tcPr>
            <w:tcW w:type="dxa" w:w="1080"/>
          </w:tcPr>
          <w:p>
            <w:r>
              <w:rPr>
                <w:sz w:val="20"/>
              </w:rPr>
              <w:t>Public</w:t>
            </w:r>
          </w:p>
        </w:tc>
        <w:tc>
          <w:tcPr>
            <w:tcW w:type="dxa" w:w="1728"/>
          </w:tcPr>
          <w:p>
            <w:r>
              <w:rPr>
                <w:sz w:val="20"/>
              </w:rPr>
              <w:t>City of St. Paul</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25</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$8,500,000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The location of the Mississippi River Learning Center is owned by the City of St. Paul and managed by the Parks and Recreation Department.</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The Mississippi River Learning Center planning was prompted by the 2013 long term master plan created by the City of St. Paul for the Great River Passage.  Once finalized, the restoration and management plan will be a part of public record via the City of St. Paul website as well as part of Great River Passage Conservancy organizational records.</w:t>
        <w:br/>
        <w:br/>
        <w:t>Restoration of the area will seek to clean up neglected landscape and restore the flood plain to native species.</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Great River Passage Conservancy will partner with the City of St. Paul and Mississippi Park Connection (MPC) for any identified restoration efforts. MPCC has conducted previous restoration efforts along the Mississippi River Recreation Area.  Restoration efforts will utilize and follow the Board of Soil and Water Resources “Native Vegetation Establishment and Enhancement Guidelines.”</w:t>
      </w:r>
    </w:p>
    <w:p>
      <w:r>
        <w:rPr>
          <w:b/>
        </w:rPr>
        <w:t xml:space="preserve">4. Describe how the long-term maintenance and management needs of the parcel being restored with these funds will be met and financed into the future. </w:t>
        <w:br/>
      </w:r>
      <w:r>
        <w:t>The restoration effort will be managed in the long term by landowner, the City of St. Paul.  Great River Passage Conservancy will continue to be the City’s partner organization that seeks out additional private, philanthropic support that may be needed in the future.</w:t>
      </w:r>
    </w:p>
    <w:p>
      <w:r>
        <w:rPr>
          <w:b/>
        </w:rPr>
        <w:t xml:space="preserve">5. Describe how consideration will be given to contracting with Conservation Corps of Minnesota for any restoration activities. </w:t>
        <w:br/>
      </w:r>
      <w:r>
        <w:t>Consideration will be given to contracting with Conservation Corps of Minnesota for some restoration activities via our partnership with Mississippi Park Connection.  The Mississippi River Crew is a dedicated Corps that is a partnership between Mississippi Park Connection and Conservation Corps of Minnesota and Iowa. The work of the crew is directed by Mississippi Park Connection and the Mississippi National River and Recreation Area and supports local land managers, including the City of Saint Paul's Natural Resources Department in invasive species management, habitat restoration, and native tree and shrub planting.</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Restoration sites will be evaluated on the success of invasive species control and changes in biodiversity of flora and fauna surveys conducted by our partner and collaborating organizations.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fced00a9-1d2.pdf</w:t>
          </w:r>
        </w:hyperlink>
      </w:r>
    </w:p>
    <w:p>
      <w:pPr>
        <w:pStyle w:val="Heading4"/>
        <w:spacing w:before="40" w:after="20"/>
      </w:pPr>
      <w:r>
        <w:rPr>
          <w:b/>
          <w:i/>
          <w:color w:val="000000"/>
          <w:sz w:val="24"/>
        </w:rPr>
        <w:t>Alternate Text for Map</w:t>
      </w:r>
    </w:p>
    <w:p>
      <w:r>
        <w:t>Two maps. One showing location of Mississippi River Learning Center in City of St. Paul; second more detailed map of the area surrounding the future site of Mississippi River Learning Center...</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f541a8c6-dcc.pdf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Authorization Letter for LCCMR Submission RLC</w:t>
            </w:r>
          </w:p>
        </w:tc>
        <w:tc>
          <w:tcPr>
            <w:tcW w:type="dxa" w:w="5400"/>
          </w:tcPr>
          <w:p>
            <w:r>
              <w:rPr>
                <w:sz w:val="20"/>
              </w:rPr>
            </w:r>
            <w:r>
              <w:rPr>
                <w:color w:val="000000" w:themeColor="hyperlink"/>
                <w:sz w:val="20"/>
                <w:u w:val="single"/>
              </w:rPr>
              <w:hyperlink r:id="rId14">
                <w:r>
                  <w:rPr/>
                  <w:t>7512bcf4-596.pdf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Mississippi River Learning Center Site Photos</w:t>
            </w:r>
          </w:p>
        </w:tc>
        <w:tc>
          <w:tcPr>
            <w:tcW w:type="dxa" w:w="5400"/>
          </w:tcPr>
          <w:p>
            <w:r>
              <w:rPr>
                <w:sz w:val="20"/>
              </w:rPr>
            </w:r>
            <w:r>
              <w:rPr>
                <w:color w:val="000000" w:themeColor="hyperlink"/>
                <w:sz w:val="20"/>
                <w:u w:val="single"/>
              </w:rPr>
              <w:hyperlink r:id="rId15">
                <w:r>
                  <w:rPr/>
                  <w:t>de743123-d0b.pdf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fced00a9-1d2.pdf" TargetMode="External"/><Relationship Id="rId13" Type="http://schemas.openxmlformats.org/officeDocument/2006/relationships/hyperlink" Target="https://lccmrprojectmgmt.leg.mn/media/financial_capacity/f541a8c6-dcc.pdf" TargetMode="External"/><Relationship Id="rId14" Type="http://schemas.openxmlformats.org/officeDocument/2006/relationships/hyperlink" Target="https://lccmrprojectmgmt.leg.mn/media/attachments/7512bcf4-596.pdf" TargetMode="External"/><Relationship Id="rId15" Type="http://schemas.openxmlformats.org/officeDocument/2006/relationships/hyperlink" Target="https://lccmrprojectmgmt.leg.mn/media/attachments/de743123-d0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Mississippi River Learning Center</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