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2023-213</w:t>
      </w:r>
    </w:p>
    <w:p>
      <w:r>
        <w:rPr>
          <w:b/>
        </w:rPr>
        <w:t xml:space="preserve">Proposal Title: </w:t>
      </w:r>
      <w:r>
        <w:t>Above the Falls Regional Park Acquisition and Restoration</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would acquire industrial acreage from willing sellers along the Mississippi River within the Above the Falls Regional Park.</w:t>
      </w:r>
    </w:p>
    <w:p>
      <w:r>
        <w:rPr>
          <w:b/>
        </w:rPr>
        <w:t xml:space="preserve">Funds Requested: </w:t>
      </w:r>
      <w:r>
        <w:t>$2,000,000</w:t>
      </w:r>
    </w:p>
    <w:p>
      <w:r>
        <w:rPr>
          <w:b/>
        </w:rPr>
        <w:t xml:space="preserve">Proposed Project Completion: </w:t>
      </w:r>
      <w:r>
        <w:t>December 31, 2025</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All of the waterfront in Minneapolis has been public for more than 100 years—except the Mississippi River in North and Northeast Minneapolis. This historic gap in habitat and public access illuminates disparities across the city and creates a break in the Mississippi Flyway. Over years and with significant state assistance, parcels were purchased by MPRB and other public entities in the interest of implementing a grand park vision known as RiverFirst. That 2012 vision established a framework for Above the Falls Regional Park that would acquire and restore the entire riverfront, thereby closing historic access and habitat gaps.</w:t>
        <w:br/>
        <w:br/>
        <w:t>Today, approximately half of the land within Above the Falls Regional Park is owned by the Minneapolis Park and Recreation Board (MPRB). Through a variety of strategies including purchase with local tax dollars, traditional mortgages, grants from watershed partners, creative financing with willing sellers, and land banking, MPRB has accelerated this critical vision. However, properties are transitioning regularly, and MPRB needs to act quickly with flexible and immediate funding or opportunities for public water access and habitat restoration will be lost for many decades.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would establish a fund for the acquisition of parcels when willing sellers come forward. The parcel list accompanying this proposal includes ALL private parcels within Above the Falls. Though the geographic area is tightly defined and limited to a single regional park, MPRB is finding that more flexibility on specific parcels is necessary. The industrial waterfront in Minneapolis is experiencing high volatility and unpredictability. MPRB needs to be ready with reliable funds and to act quickly when opportunities arise.  MPRB cannot predict at this time which parcels will become available, but will carefully follow all state rules associated with property acquisition under LCCMR funding.</w:t>
        <w:br/>
        <w:br/>
        <w:t>We understand this proposal is similar to the ENRTF-funded Parks Acquisition Opportunity Fund through the Metropolitan Council. We are bringing this single-park, multi-parcel proposal directly to LCCMR because urban acquisitions could exhaust the PAOF quickly. In addition, because of the urban/industrial character of these parcels, they could be viewed as out of character with typical PAOF purchases, notwithstanding the critical need to re-establish habitat along the Mississippi River. MPRB feels it is worthwhile to make this proposal directly so it can be discussed individually.</w:t>
      </w:r>
    </w:p>
    <w:p>
      <w:pPr>
        <w:spacing w:after="60"/>
      </w:pPr>
      <w:r>
        <w:rPr>
          <w:b/>
        </w:rPr>
        <w:t xml:space="preserve">What are the specific project outcomes as they relate to the public purpose of protection, conservation, preservation, and enhancement of the state’s natural resources? </w:t>
      </w:r>
    </w:p>
    <w:p>
      <w:r>
        <w:t>This project will help complete a continuous green ribbon along Mississippi River in Minneapolis. The outcome of this project, therefore, is to contribute to the eventual acquisition of all the Minneapolis riverfront, as envisioned in plans that go back decades. Much work has been already completed to this end. We are requesting funds to accelerate the vision to complete the promise of parkland, water access, and habitat in North and Northeast Minneapolis.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Parcel Acquisition</w:t>
      </w:r>
    </w:p>
    <w:p>
      <w:r>
        <w:rPr>
          <w:b/>
        </w:rPr>
        <w:t xml:space="preserve">Activity Budget: </w:t>
      </w:r>
      <w:r>
        <w:t>$1,950,000</w:t>
      </w:r>
    </w:p>
    <w:p>
      <w:r>
        <w:rPr>
          <w:b/>
        </w:rPr>
        <w:t xml:space="preserve">Activity Description: </w:t>
        <w:br/>
      </w:r>
      <w:r>
        <w:t>MPRB would work with its partners and current property owners to acquire fee title to parcels, once sellers are willing to transfer ownership.  MPRB staff time, legal costs, appraisals, and closing costs would be paid by MPRB as part of the grant match, with the entirety of the ENRTF funding going to actual parcel acquisitions. It is possible that this funding could be applied to multiple parcel purchases. It is also possible MPRB may match ENRFT funds with other sources, in order to ensure the most effective use of state funds.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Appraisals, Negotiations, and Due Diligence</w:t>
            </w:r>
          </w:p>
        </w:tc>
        <w:tc>
          <w:tcPr>
            <w:tcW w:type="dxa" w:w="2160"/>
          </w:tcPr>
          <w:p>
            <w:pPr>
              <w:jc w:val="right"/>
            </w:pPr>
            <w:r>
              <w:rPr>
                <w:sz w:val="20"/>
              </w:rPr>
              <w:t>December 31, 2024</w:t>
            </w:r>
          </w:p>
        </w:tc>
      </w:tr>
      <w:tr>
        <w:tc>
          <w:tcPr>
            <w:tcW w:type="dxa" w:w="8640"/>
          </w:tcPr>
          <w:p>
            <w:r>
              <w:rPr>
                <w:sz w:val="20"/>
              </w:rPr>
              <w:t>Parcel Acquisitions</w:t>
            </w:r>
          </w:p>
        </w:tc>
        <w:tc>
          <w:tcPr>
            <w:tcW w:type="dxa" w:w="2160"/>
          </w:tcPr>
          <w:p>
            <w:pPr>
              <w:jc w:val="right"/>
            </w:pPr>
            <w:r>
              <w:rPr>
                <w:sz w:val="20"/>
              </w:rPr>
              <w:t>December 31, 2025</w:t>
            </w:r>
          </w:p>
        </w:tc>
      </w:tr>
    </w:tbl>
    <w:p/>
    <w:p>
      <w:pPr>
        <w:pStyle w:val="Heading3"/>
        <w:spacing w:after="60"/>
      </w:pPr>
      <w:r>
        <w:rPr>
          <w:b/>
          <w:color w:val="254885"/>
          <w:sz w:val="26"/>
        </w:rPr>
        <w:t>Activity 2: Restoration Planning</w:t>
      </w:r>
    </w:p>
    <w:p>
      <w:r>
        <w:rPr>
          <w:b/>
        </w:rPr>
        <w:t xml:space="preserve">Activity Budget: </w:t>
      </w:r>
      <w:r>
        <w:t>$50,000</w:t>
      </w:r>
    </w:p>
    <w:p>
      <w:r>
        <w:rPr>
          <w:b/>
        </w:rPr>
        <w:t xml:space="preserve">Activity Description: </w:t>
        <w:br/>
      </w:r>
      <w:r>
        <w:t>MPRB will hire an ecological restoration professional through a competitive process and work with them to prepare restoration plans for acquired sites. The restoration plans will guide future restoration of the sites. After completion of restoration plans, MPRB will seek additional funding through a variety of sources to implement the site restorations, likely in conjunction with restoration activities on adjacent parcels.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Selection of Restoration Ecologist Professional</w:t>
            </w:r>
          </w:p>
        </w:tc>
        <w:tc>
          <w:tcPr>
            <w:tcW w:type="dxa" w:w="2160"/>
          </w:tcPr>
          <w:p>
            <w:pPr>
              <w:jc w:val="right"/>
            </w:pPr>
            <w:r>
              <w:rPr>
                <w:sz w:val="20"/>
              </w:rPr>
              <w:t>December 31, 2024</w:t>
            </w:r>
          </w:p>
        </w:tc>
      </w:tr>
      <w:tr>
        <w:tc>
          <w:tcPr>
            <w:tcW w:type="dxa" w:w="8640"/>
          </w:tcPr>
          <w:p>
            <w:r>
              <w:rPr>
                <w:sz w:val="20"/>
              </w:rPr>
              <w:t>Completion of Restoration Plans</w:t>
            </w:r>
          </w:p>
        </w:tc>
        <w:tc>
          <w:tcPr>
            <w:tcW w:type="dxa" w:w="2160"/>
          </w:tcPr>
          <w:p>
            <w:pPr>
              <w:jc w:val="right"/>
            </w:pPr>
            <w:r>
              <w:rPr>
                <w:sz w:val="20"/>
              </w:rPr>
              <w:t>December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Long term maintenance and management of the acquired parcels, including protection prior to restoration activities, will be performed by the Minneapolis Park and Recreation Board as part of its overall maintenance programs. Such activities do include paid staff work, volunteers, and partnerships with nonprofit organizations. MPRB will seek additional funding from a variety of sources to accomplish future restoration of the site.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Mississippi River Aquatic Habitat Restoration And Mussel Reintroduction</w:t>
            </w:r>
          </w:p>
        </w:tc>
        <w:tc>
          <w:tcPr>
            <w:tcW w:type="dxa" w:w="4680"/>
          </w:tcPr>
          <w:p>
            <w:r>
              <w:rPr>
                <w:sz w:val="20"/>
              </w:rPr>
              <w:t>M.L. 2021, First Special Session, Chp. 6, Art. 5, Sec. 2, Subd. 09e</w:t>
            </w:r>
          </w:p>
        </w:tc>
        <w:tc>
          <w:tcPr>
            <w:tcW w:type="dxa" w:w="1440"/>
          </w:tcPr>
          <w:p>
            <w:pPr>
              <w:jc w:val="right"/>
            </w:pPr>
            <w:r>
              <w:rPr>
                <w:sz w:val="20"/>
              </w:rPr>
              <w:t>$1,800,000</w:t>
            </w:r>
          </w:p>
        </w:tc>
      </w:tr>
      <w:tr>
        <w:tc>
          <w:tcPr>
            <w:tcW w:type="dxa" w:w="4680"/>
          </w:tcPr>
          <w:p>
            <w:r>
              <w:rPr>
                <w:sz w:val="20"/>
              </w:rPr>
              <w:t>Above The Falls Regional Park Acquisition</w:t>
            </w:r>
          </w:p>
        </w:tc>
        <w:tc>
          <w:tcPr>
            <w:tcW w:type="dxa" w:w="4680"/>
          </w:tcPr>
          <w:p>
            <w:r>
              <w:rPr>
                <w:sz w:val="20"/>
              </w:rPr>
              <w:t>M.L. 2021, First Special Session, Chp. 6, Art. 6, Sec. 2, Subd. 09q</w:t>
            </w:r>
          </w:p>
        </w:tc>
        <w:tc>
          <w:tcPr>
            <w:tcW w:type="dxa" w:w="1440"/>
          </w:tcPr>
          <w:p>
            <w:pPr>
              <w:jc w:val="right"/>
            </w:pPr>
            <w:r>
              <w:rPr>
                <w:sz w:val="20"/>
              </w:rPr>
              <w:t>$950,000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was the project manager for the MPRB’s Ecological Systems Plan and also led the agency’s effort to create new environmentally sound master plans for each neighborhood park.</w:t>
      </w:r>
    </w:p>
    <w:p>
      <w:r>
        <w:rPr>
          <w:b/>
        </w:rPr>
        <w:t xml:space="preserve">Organization: </w:t>
      </w:r>
      <w:r>
        <w:t>Minneapolis Park and Recreation Board</w:t>
      </w:r>
    </w:p>
    <w:p>
      <w:r>
        <w:rPr>
          <w:b/>
        </w:rPr>
        <w:t xml:space="preserve">Organization Description: </w:t>
        <w:br/>
      </w:r>
      <w:r>
        <w:t>With 171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Restoration Ecologist Professional to be Determined</w:t>
            </w:r>
          </w:p>
        </w:tc>
        <w:tc>
          <w:tcPr>
            <w:tcW w:type="dxa" w:w="1440"/>
          </w:tcPr>
          <w:p>
            <w:r>
              <w:rPr>
                <w:sz w:val="20"/>
              </w:rPr>
              <w:t>Professional or Technical Service Contract</w:t>
            </w:r>
          </w:p>
        </w:tc>
        <w:tc>
          <w:tcPr>
            <w:tcW w:type="dxa" w:w="5472"/>
          </w:tcPr>
          <w:p>
            <w:r>
              <w:rPr>
                <w:sz w:val="20"/>
              </w:rPr>
              <w:t>The Restoration Ecologist Professional will prepare the restoration plan for the site, based on BWSR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7  Parcels: 3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and Recreation Board General Fund as designated for general staffing and fringe</w:t>
            </w:r>
          </w:p>
        </w:tc>
        <w:tc>
          <w:tcPr>
            <w:tcW w:type="dxa" w:w="6120"/>
          </w:tcPr>
          <w:p>
            <w:r>
              <w:rPr>
                <w:sz w:val="20"/>
              </w:rPr>
              <w:t>Matching funds will be used for all personnel costs, including community engagement, landowner negotiation, and project administration for the acquisition and restoration activities.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Minneapolis Park and Recreation Board General Fund as designated for land acquisition.</w:t>
            </w:r>
          </w:p>
        </w:tc>
        <w:tc>
          <w:tcPr>
            <w:tcW w:type="dxa" w:w="6120"/>
          </w:tcPr>
          <w:p>
            <w:r>
              <w:rPr>
                <w:sz w:val="20"/>
              </w:rPr>
              <w:t>Land acquisition designated funds will be used for all acquisition soft costs, as well as a portion of land costs.</w:t>
            </w:r>
          </w:p>
        </w:tc>
        <w:tc>
          <w:tcPr>
            <w:tcW w:type="dxa" w:w="1080"/>
          </w:tcPr>
          <w:p>
            <w:r>
              <w:rPr>
                <w:sz w:val="20"/>
              </w:rPr>
              <w:t>Secured</w:t>
            </w:r>
          </w:p>
        </w:tc>
        <w:tc>
          <w:tcPr>
            <w:tcW w:type="dxa" w:w="1440"/>
          </w:tcPr>
          <w:p>
            <w:pPr>
              <w:jc w:val="right"/>
            </w:pPr>
            <w:r>
              <w:rPr>
                <w:sz w:val="20"/>
              </w:rPr>
              <w:t>$500,000</w:t>
            </w:r>
          </w:p>
        </w:tc>
      </w:tr>
      <w:tr>
        <w:tc>
          <w:tcPr>
            <w:tcW w:type="dxa" w:w="1080"/>
          </w:tcPr>
          <w:p>
            <w:r>
              <w:rPr>
                <w:sz w:val="20"/>
              </w:rPr>
              <w:t>Cash</w:t>
            </w:r>
          </w:p>
        </w:tc>
        <w:tc>
          <w:tcPr>
            <w:tcW w:type="dxa" w:w="4680"/>
          </w:tcPr>
          <w:p>
            <w:r>
              <w:rPr>
                <w:sz w:val="20"/>
              </w:rPr>
              <w:t>Partnership funds from local non-profit organizations and agencies.</w:t>
            </w:r>
          </w:p>
        </w:tc>
        <w:tc>
          <w:tcPr>
            <w:tcW w:type="dxa" w:w="6120"/>
          </w:tcPr>
          <w:p>
            <w:r>
              <w:rPr>
                <w:sz w:val="20"/>
              </w:rPr>
              <w:t>These funds will be used for a portion of acquisition costs. Though not secured for specific parcels, MPRB has had historic success with this type of local assistance, once parcels have been identified.</w:t>
            </w:r>
          </w:p>
        </w:tc>
        <w:tc>
          <w:tcPr>
            <w:tcW w:type="dxa" w:w="1080"/>
          </w:tcPr>
          <w:p>
            <w:r>
              <w:rPr>
                <w:sz w:val="20"/>
              </w:rPr>
              <w:t>Potential</w:t>
            </w:r>
          </w:p>
        </w:tc>
        <w:tc>
          <w:tcPr>
            <w:tcW w:type="dxa" w:w="1440"/>
          </w:tcPr>
          <w:p>
            <w:pPr>
              <w:jc w:val="right"/>
            </w:pPr>
            <w:r>
              <w:rPr>
                <w:sz w:val="20"/>
              </w:rPr>
              <w:t>$250,000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1002924130001</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0.46</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1002924130002</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6.48</w:t>
            </w:r>
          </w:p>
        </w:tc>
        <w:tc>
          <w:tcPr>
            <w:tcW w:type="dxa" w:w="432"/>
          </w:tcPr>
          <w:p>
            <w:pPr>
              <w:jc w:val="right"/>
            </w:pPr>
            <w:r>
              <w:rPr>
                <w:sz w:val="20"/>
              </w:rPr>
              <w:t>-</w:t>
            </w:r>
          </w:p>
        </w:tc>
        <w:tc>
          <w:tcPr>
            <w:tcW w:type="dxa" w:w="1080"/>
          </w:tcPr>
          <w:p>
            <w:pPr>
              <w:jc w:val="right"/>
            </w:pPr>
            <w:r>
              <w:rPr>
                <w:sz w:val="20"/>
              </w:rPr>
              <w:t>$1,532,500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1002924130003</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1.21</w:t>
            </w:r>
          </w:p>
        </w:tc>
        <w:tc>
          <w:tcPr>
            <w:tcW w:type="dxa" w:w="432"/>
          </w:tcPr>
          <w:p>
            <w:pPr>
              <w:jc w:val="right"/>
            </w:pPr>
            <w:r>
              <w:rPr>
                <w:sz w:val="20"/>
              </w:rPr>
              <w:t>-</w:t>
            </w:r>
          </w:p>
        </w:tc>
        <w:tc>
          <w:tcPr>
            <w:tcW w:type="dxa" w:w="1080"/>
          </w:tcPr>
          <w:p>
            <w:pPr>
              <w:jc w:val="right"/>
            </w:pPr>
            <w:r>
              <w:rPr>
                <w:sz w:val="20"/>
              </w:rPr>
              <w:t>$6,000,000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1002924130005</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0.53</w:t>
            </w:r>
          </w:p>
        </w:tc>
        <w:tc>
          <w:tcPr>
            <w:tcW w:type="dxa" w:w="432"/>
          </w:tcPr>
          <w:p>
            <w:pPr>
              <w:jc w:val="right"/>
            </w:pPr>
            <w:r>
              <w:rPr>
                <w:sz w:val="20"/>
              </w:rPr>
              <w:t>-</w:t>
            </w:r>
          </w:p>
        </w:tc>
        <w:tc>
          <w:tcPr>
            <w:tcW w:type="dxa" w:w="1080"/>
          </w:tcPr>
          <w:p>
            <w:pPr>
              <w:jc w:val="right"/>
            </w:pPr>
            <w:r>
              <w:rPr>
                <w:sz w:val="20"/>
              </w:rPr>
              <w:t>$122,000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1002924130006</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0.26</w:t>
            </w:r>
          </w:p>
        </w:tc>
        <w:tc>
          <w:tcPr>
            <w:tcW w:type="dxa" w:w="432"/>
          </w:tcPr>
          <w:p>
            <w:pPr>
              <w:jc w:val="right"/>
            </w:pPr>
            <w:r>
              <w:rPr>
                <w:sz w:val="20"/>
              </w:rPr>
              <w:t>-</w:t>
            </w:r>
          </w:p>
        </w:tc>
        <w:tc>
          <w:tcPr>
            <w:tcW w:type="dxa" w:w="1080"/>
          </w:tcPr>
          <w:p>
            <w:pPr>
              <w:jc w:val="right"/>
            </w:pPr>
            <w:r>
              <w:rPr>
                <w:sz w:val="20"/>
              </w:rPr>
              <w:t>$53,000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1002924130007</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0.27</w:t>
            </w:r>
          </w:p>
        </w:tc>
        <w:tc>
          <w:tcPr>
            <w:tcW w:type="dxa" w:w="432"/>
          </w:tcPr>
          <w:p>
            <w:pPr>
              <w:jc w:val="right"/>
            </w:pPr>
            <w:r>
              <w:rPr>
                <w:sz w:val="20"/>
              </w:rPr>
              <w:t>-</w:t>
            </w:r>
          </w:p>
        </w:tc>
        <w:tc>
          <w:tcPr>
            <w:tcW w:type="dxa" w:w="1080"/>
          </w:tcPr>
          <w:p>
            <w:pPr>
              <w:jc w:val="right"/>
            </w:pPr>
            <w:r>
              <w:rPr>
                <w:sz w:val="20"/>
              </w:rPr>
              <w:t>$67,000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1002924130008</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0.41</w:t>
            </w:r>
          </w:p>
        </w:tc>
        <w:tc>
          <w:tcPr>
            <w:tcW w:type="dxa" w:w="432"/>
          </w:tcPr>
          <w:p>
            <w:pPr>
              <w:jc w:val="right"/>
            </w:pPr>
            <w:r>
              <w:rPr>
                <w:sz w:val="20"/>
              </w:rPr>
              <w:t>-</w:t>
            </w:r>
          </w:p>
        </w:tc>
        <w:tc>
          <w:tcPr>
            <w:tcW w:type="dxa" w:w="1080"/>
          </w:tcPr>
          <w:p>
            <w:pPr>
              <w:jc w:val="right"/>
            </w:pPr>
            <w:r>
              <w:rPr>
                <w:sz w:val="20"/>
              </w:rPr>
              <w:t>$91,000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1002924130009</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1.81</w:t>
            </w:r>
          </w:p>
        </w:tc>
        <w:tc>
          <w:tcPr>
            <w:tcW w:type="dxa" w:w="432"/>
          </w:tcPr>
          <w:p>
            <w:pPr>
              <w:jc w:val="right"/>
            </w:pPr>
            <w:r>
              <w:rPr>
                <w:sz w:val="20"/>
              </w:rPr>
              <w:t>-</w:t>
            </w:r>
          </w:p>
        </w:tc>
        <w:tc>
          <w:tcPr>
            <w:tcW w:type="dxa" w:w="1080"/>
          </w:tcPr>
          <w:p>
            <w:pPr>
              <w:jc w:val="right"/>
            </w:pPr>
            <w:r>
              <w:rPr>
                <w:sz w:val="20"/>
              </w:rPr>
              <w:t>$797,000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1002924140008</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0.16</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1002924140010</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2.25</w:t>
            </w:r>
          </w:p>
        </w:tc>
        <w:tc>
          <w:tcPr>
            <w:tcW w:type="dxa" w:w="432"/>
          </w:tcPr>
          <w:p>
            <w:pPr>
              <w:jc w:val="right"/>
            </w:pPr>
            <w:r>
              <w:rPr>
                <w:sz w:val="20"/>
              </w:rPr>
              <w:t>-</w:t>
            </w:r>
          </w:p>
        </w:tc>
        <w:tc>
          <w:tcPr>
            <w:tcW w:type="dxa" w:w="1080"/>
          </w:tcPr>
          <w:p>
            <w:pPr>
              <w:jc w:val="right"/>
            </w:pPr>
            <w:r>
              <w:rPr>
                <w:sz w:val="20"/>
              </w:rPr>
              <w:t>$1,000,000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1002924140011</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2.07</w:t>
            </w:r>
          </w:p>
        </w:tc>
        <w:tc>
          <w:tcPr>
            <w:tcW w:type="dxa" w:w="432"/>
          </w:tcPr>
          <w:p>
            <w:pPr>
              <w:jc w:val="right"/>
            </w:pPr>
            <w:r>
              <w:rPr>
                <w:sz w:val="20"/>
              </w:rPr>
              <w:t>-</w:t>
            </w:r>
          </w:p>
        </w:tc>
        <w:tc>
          <w:tcPr>
            <w:tcW w:type="dxa" w:w="1080"/>
          </w:tcPr>
          <w:p>
            <w:pPr>
              <w:jc w:val="right"/>
            </w:pPr>
            <w:r>
              <w:rPr>
                <w:sz w:val="20"/>
              </w:rPr>
              <w:t>$2,000,000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1002924140173</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0.38</w:t>
            </w:r>
          </w:p>
        </w:tc>
        <w:tc>
          <w:tcPr>
            <w:tcW w:type="dxa" w:w="432"/>
          </w:tcPr>
          <w:p>
            <w:pPr>
              <w:jc w:val="right"/>
            </w:pPr>
            <w:r>
              <w:rPr>
                <w:sz w:val="20"/>
              </w:rPr>
              <w:t>-</w:t>
            </w:r>
          </w:p>
        </w:tc>
        <w:tc>
          <w:tcPr>
            <w:tcW w:type="dxa" w:w="1080"/>
          </w:tcPr>
          <w:p>
            <w:pPr>
              <w:jc w:val="right"/>
            </w:pPr>
            <w:r>
              <w:rPr>
                <w:sz w:val="20"/>
              </w:rPr>
              <w:t>$264,000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1002924410009</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0.63</w:t>
            </w:r>
          </w:p>
        </w:tc>
        <w:tc>
          <w:tcPr>
            <w:tcW w:type="dxa" w:w="432"/>
          </w:tcPr>
          <w:p>
            <w:pPr>
              <w:jc w:val="right"/>
            </w:pPr>
            <w:r>
              <w:rPr>
                <w:sz w:val="20"/>
              </w:rPr>
              <w:t>-</w:t>
            </w:r>
          </w:p>
        </w:tc>
        <w:tc>
          <w:tcPr>
            <w:tcW w:type="dxa" w:w="1080"/>
          </w:tcPr>
          <w:p>
            <w:pPr>
              <w:jc w:val="right"/>
            </w:pPr>
            <w:r>
              <w:rPr>
                <w:sz w:val="20"/>
              </w:rPr>
              <w:t>$566,000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1002924410026</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0.26</w:t>
            </w:r>
          </w:p>
        </w:tc>
        <w:tc>
          <w:tcPr>
            <w:tcW w:type="dxa" w:w="432"/>
          </w:tcPr>
          <w:p>
            <w:pPr>
              <w:jc w:val="right"/>
            </w:pPr>
            <w:r>
              <w:rPr>
                <w:sz w:val="20"/>
              </w:rPr>
              <w:t>-</w:t>
            </w:r>
          </w:p>
        </w:tc>
        <w:tc>
          <w:tcPr>
            <w:tcW w:type="dxa" w:w="1080"/>
          </w:tcPr>
          <w:p>
            <w:pPr>
              <w:jc w:val="right"/>
            </w:pPr>
            <w:r>
              <w:rPr>
                <w:sz w:val="20"/>
              </w:rPr>
              <w:t>$450,000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1002924410029</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0.24</w:t>
            </w:r>
          </w:p>
        </w:tc>
        <w:tc>
          <w:tcPr>
            <w:tcW w:type="dxa" w:w="432"/>
          </w:tcPr>
          <w:p>
            <w:pPr>
              <w:jc w:val="right"/>
            </w:pPr>
            <w:r>
              <w:rPr>
                <w:sz w:val="20"/>
              </w:rPr>
              <w:t>-</w:t>
            </w:r>
          </w:p>
        </w:tc>
        <w:tc>
          <w:tcPr>
            <w:tcW w:type="dxa" w:w="1080"/>
          </w:tcPr>
          <w:p>
            <w:pPr>
              <w:jc w:val="right"/>
            </w:pPr>
            <w:r>
              <w:rPr>
                <w:sz w:val="20"/>
              </w:rPr>
              <w:t>$500,000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1002924410030</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0.25</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Negotiations In Progress</w:t>
            </w:r>
          </w:p>
        </w:tc>
      </w:tr>
      <w:tr>
        <w:tc>
          <w:tcPr>
            <w:tcW w:type="dxa" w:w="2160"/>
          </w:tcPr>
          <w:p>
            <w:r>
              <w:rPr>
                <w:sz w:val="20"/>
              </w:rPr>
              <w:t>1002924410031</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0.49</w:t>
            </w:r>
          </w:p>
        </w:tc>
        <w:tc>
          <w:tcPr>
            <w:tcW w:type="dxa" w:w="432"/>
          </w:tcPr>
          <w:p>
            <w:pPr>
              <w:jc w:val="right"/>
            </w:pPr>
            <w:r>
              <w:rPr>
                <w:sz w:val="20"/>
              </w:rPr>
              <w:t>-</w:t>
            </w:r>
          </w:p>
        </w:tc>
        <w:tc>
          <w:tcPr>
            <w:tcW w:type="dxa" w:w="1080"/>
          </w:tcPr>
          <w:p>
            <w:pPr>
              <w:jc w:val="right"/>
            </w:pPr>
            <w:r>
              <w:rPr>
                <w:sz w:val="20"/>
              </w:rPr>
              <w:t>$550,000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1002924410145</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0.33</w:t>
            </w:r>
          </w:p>
        </w:tc>
        <w:tc>
          <w:tcPr>
            <w:tcW w:type="dxa" w:w="432"/>
          </w:tcPr>
          <w:p>
            <w:pPr>
              <w:jc w:val="right"/>
            </w:pPr>
            <w:r>
              <w:rPr>
                <w:sz w:val="20"/>
              </w:rPr>
              <w:t>-</w:t>
            </w:r>
          </w:p>
        </w:tc>
        <w:tc>
          <w:tcPr>
            <w:tcW w:type="dxa" w:w="1080"/>
          </w:tcPr>
          <w:p>
            <w:pPr>
              <w:jc w:val="right"/>
            </w:pPr>
            <w:r>
              <w:rPr>
                <w:sz w:val="20"/>
              </w:rPr>
              <w:t>$481,000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1002924410179</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0.64</w:t>
            </w:r>
          </w:p>
        </w:tc>
        <w:tc>
          <w:tcPr>
            <w:tcW w:type="dxa" w:w="432"/>
          </w:tcPr>
          <w:p>
            <w:pPr>
              <w:jc w:val="right"/>
            </w:pPr>
            <w:r>
              <w:rPr>
                <w:sz w:val="20"/>
              </w:rPr>
              <w:t>-</w:t>
            </w:r>
          </w:p>
        </w:tc>
        <w:tc>
          <w:tcPr>
            <w:tcW w:type="dxa" w:w="1080"/>
          </w:tcPr>
          <w:p>
            <w:pPr>
              <w:jc w:val="right"/>
            </w:pPr>
            <w:r>
              <w:rPr>
                <w:sz w:val="20"/>
              </w:rPr>
              <w:t>$412,000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1002924420005</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1.64</w:t>
            </w:r>
          </w:p>
        </w:tc>
        <w:tc>
          <w:tcPr>
            <w:tcW w:type="dxa" w:w="432"/>
          </w:tcPr>
          <w:p>
            <w:pPr>
              <w:jc w:val="right"/>
            </w:pPr>
            <w:r>
              <w:rPr>
                <w:sz w:val="20"/>
              </w:rPr>
              <w:t>-</w:t>
            </w:r>
          </w:p>
        </w:tc>
        <w:tc>
          <w:tcPr>
            <w:tcW w:type="dxa" w:w="1080"/>
          </w:tcPr>
          <w:p>
            <w:pPr>
              <w:jc w:val="right"/>
            </w:pPr>
            <w:r>
              <w:rPr>
                <w:sz w:val="20"/>
              </w:rPr>
              <w:t>$483,700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1002924420006</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0.38</w:t>
            </w:r>
          </w:p>
        </w:tc>
        <w:tc>
          <w:tcPr>
            <w:tcW w:type="dxa" w:w="432"/>
          </w:tcPr>
          <w:p>
            <w:pPr>
              <w:jc w:val="right"/>
            </w:pPr>
            <w:r>
              <w:rPr>
                <w:sz w:val="20"/>
              </w:rPr>
              <w:t>-</w:t>
            </w:r>
          </w:p>
        </w:tc>
        <w:tc>
          <w:tcPr>
            <w:tcW w:type="dxa" w:w="1080"/>
          </w:tcPr>
          <w:p>
            <w:pPr>
              <w:jc w:val="right"/>
            </w:pPr>
            <w:r>
              <w:rPr>
                <w:sz w:val="20"/>
              </w:rPr>
              <w:t>$114,100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1002924420007</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9.58</w:t>
            </w:r>
          </w:p>
        </w:tc>
        <w:tc>
          <w:tcPr>
            <w:tcW w:type="dxa" w:w="432"/>
          </w:tcPr>
          <w:p>
            <w:pPr>
              <w:jc w:val="right"/>
            </w:pPr>
            <w:r>
              <w:rPr>
                <w:sz w:val="20"/>
              </w:rPr>
              <w:t>-</w:t>
            </w:r>
          </w:p>
        </w:tc>
        <w:tc>
          <w:tcPr>
            <w:tcW w:type="dxa" w:w="1080"/>
          </w:tcPr>
          <w:p>
            <w:pPr>
              <w:jc w:val="right"/>
            </w:pPr>
            <w:r>
              <w:rPr>
                <w:sz w:val="20"/>
              </w:rPr>
              <w:t>$2,584,500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1002924430007</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1.12</w:t>
            </w:r>
          </w:p>
        </w:tc>
        <w:tc>
          <w:tcPr>
            <w:tcW w:type="dxa" w:w="432"/>
          </w:tcPr>
          <w:p>
            <w:pPr>
              <w:jc w:val="right"/>
            </w:pPr>
            <w:r>
              <w:rPr>
                <w:sz w:val="20"/>
              </w:rPr>
              <w:t>-</w:t>
            </w:r>
          </w:p>
        </w:tc>
        <w:tc>
          <w:tcPr>
            <w:tcW w:type="dxa" w:w="1080"/>
          </w:tcPr>
          <w:p>
            <w:pPr>
              <w:jc w:val="right"/>
            </w:pPr>
            <w:r>
              <w:rPr>
                <w:sz w:val="20"/>
              </w:rPr>
              <w:t>$195,500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1002924430008</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0.35</w:t>
            </w:r>
          </w:p>
        </w:tc>
        <w:tc>
          <w:tcPr>
            <w:tcW w:type="dxa" w:w="432"/>
          </w:tcPr>
          <w:p>
            <w:pPr>
              <w:jc w:val="right"/>
            </w:pPr>
            <w:r>
              <w:rPr>
                <w:sz w:val="20"/>
              </w:rPr>
              <w:t>-</w:t>
            </w:r>
          </w:p>
        </w:tc>
        <w:tc>
          <w:tcPr>
            <w:tcW w:type="dxa" w:w="1080"/>
          </w:tcPr>
          <w:p>
            <w:pPr>
              <w:jc w:val="right"/>
            </w:pPr>
            <w:r>
              <w:rPr>
                <w:sz w:val="20"/>
              </w:rPr>
              <w:t>$51,900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1002924430009</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0.38</w:t>
            </w:r>
          </w:p>
        </w:tc>
        <w:tc>
          <w:tcPr>
            <w:tcW w:type="dxa" w:w="432"/>
          </w:tcPr>
          <w:p>
            <w:pPr>
              <w:jc w:val="right"/>
            </w:pPr>
            <w:r>
              <w:rPr>
                <w:sz w:val="20"/>
              </w:rPr>
              <w:t>-</w:t>
            </w:r>
          </w:p>
        </w:tc>
        <w:tc>
          <w:tcPr>
            <w:tcW w:type="dxa" w:w="1080"/>
          </w:tcPr>
          <w:p>
            <w:pPr>
              <w:jc w:val="right"/>
            </w:pPr>
            <w:r>
              <w:rPr>
                <w:sz w:val="20"/>
              </w:rPr>
              <w:t>$62,000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1002924430010</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0.41</w:t>
            </w:r>
          </w:p>
        </w:tc>
        <w:tc>
          <w:tcPr>
            <w:tcW w:type="dxa" w:w="432"/>
          </w:tcPr>
          <w:p>
            <w:pPr>
              <w:jc w:val="right"/>
            </w:pPr>
            <w:r>
              <w:rPr>
                <w:sz w:val="20"/>
              </w:rPr>
              <w:t>-</w:t>
            </w:r>
          </w:p>
        </w:tc>
        <w:tc>
          <w:tcPr>
            <w:tcW w:type="dxa" w:w="1080"/>
          </w:tcPr>
          <w:p>
            <w:pPr>
              <w:jc w:val="right"/>
            </w:pPr>
            <w:r>
              <w:rPr>
                <w:sz w:val="20"/>
              </w:rPr>
              <w:t>$75,600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1002924440005</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1.05</w:t>
            </w:r>
          </w:p>
        </w:tc>
        <w:tc>
          <w:tcPr>
            <w:tcW w:type="dxa" w:w="432"/>
          </w:tcPr>
          <w:p>
            <w:pPr>
              <w:jc w:val="right"/>
            </w:pPr>
            <w:r>
              <w:rPr>
                <w:sz w:val="20"/>
              </w:rPr>
              <w:t>-</w:t>
            </w:r>
          </w:p>
        </w:tc>
        <w:tc>
          <w:tcPr>
            <w:tcW w:type="dxa" w:w="1080"/>
          </w:tcPr>
          <w:p>
            <w:pPr>
              <w:jc w:val="right"/>
            </w:pPr>
            <w:r>
              <w:rPr>
                <w:sz w:val="20"/>
              </w:rPr>
              <w:t>$2,000,000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1002924440006</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0.39</w:t>
            </w:r>
          </w:p>
        </w:tc>
        <w:tc>
          <w:tcPr>
            <w:tcW w:type="dxa" w:w="432"/>
          </w:tcPr>
          <w:p>
            <w:pPr>
              <w:jc w:val="right"/>
            </w:pPr>
            <w:r>
              <w:rPr>
                <w:sz w:val="20"/>
              </w:rPr>
              <w:t>-</w:t>
            </w:r>
          </w:p>
        </w:tc>
        <w:tc>
          <w:tcPr>
            <w:tcW w:type="dxa" w:w="1080"/>
          </w:tcPr>
          <w:p>
            <w:pPr>
              <w:jc w:val="right"/>
            </w:pPr>
            <w:r>
              <w:rPr>
                <w:sz w:val="20"/>
              </w:rPr>
              <w:t>$250,000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1002924440071</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0.24</w:t>
            </w:r>
          </w:p>
        </w:tc>
        <w:tc>
          <w:tcPr>
            <w:tcW w:type="dxa" w:w="432"/>
          </w:tcPr>
          <w:p>
            <w:pPr>
              <w:jc w:val="right"/>
            </w:pPr>
            <w:r>
              <w:rPr>
                <w:sz w:val="20"/>
              </w:rPr>
              <w:t>-</w:t>
            </w:r>
          </w:p>
        </w:tc>
        <w:tc>
          <w:tcPr>
            <w:tcW w:type="dxa" w:w="1080"/>
          </w:tcPr>
          <w:p>
            <w:pPr>
              <w:jc w:val="right"/>
            </w:pPr>
            <w:r>
              <w:rPr>
                <w:sz w:val="20"/>
              </w:rPr>
              <w:t>$270,000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1002924440072</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0.24</w:t>
            </w:r>
          </w:p>
        </w:tc>
        <w:tc>
          <w:tcPr>
            <w:tcW w:type="dxa" w:w="432"/>
          </w:tcPr>
          <w:p>
            <w:pPr>
              <w:jc w:val="right"/>
            </w:pPr>
            <w:r>
              <w:rPr>
                <w:sz w:val="20"/>
              </w:rPr>
              <w:t>-</w:t>
            </w:r>
          </w:p>
        </w:tc>
        <w:tc>
          <w:tcPr>
            <w:tcW w:type="dxa" w:w="1080"/>
          </w:tcPr>
          <w:p>
            <w:pPr>
              <w:jc w:val="right"/>
            </w:pPr>
            <w:r>
              <w:rPr>
                <w:sz w:val="20"/>
              </w:rPr>
              <w:t>$350,000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1002924440073</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0.24</w:t>
            </w:r>
          </w:p>
        </w:tc>
        <w:tc>
          <w:tcPr>
            <w:tcW w:type="dxa" w:w="432"/>
          </w:tcPr>
          <w:p>
            <w:pPr>
              <w:jc w:val="right"/>
            </w:pPr>
            <w:r>
              <w:rPr>
                <w:sz w:val="20"/>
              </w:rPr>
              <w:t>-</w:t>
            </w:r>
          </w:p>
        </w:tc>
        <w:tc>
          <w:tcPr>
            <w:tcW w:type="dxa" w:w="1080"/>
          </w:tcPr>
          <w:p>
            <w:pPr>
              <w:jc w:val="right"/>
            </w:pPr>
            <w:r>
              <w:rPr>
                <w:sz w:val="20"/>
              </w:rPr>
              <w:t>$291,000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1002924440074</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0.24</w:t>
            </w:r>
          </w:p>
        </w:tc>
        <w:tc>
          <w:tcPr>
            <w:tcW w:type="dxa" w:w="432"/>
          </w:tcPr>
          <w:p>
            <w:pPr>
              <w:jc w:val="right"/>
            </w:pPr>
            <w:r>
              <w:rPr>
                <w:sz w:val="20"/>
              </w:rPr>
              <w:t>-</w:t>
            </w:r>
          </w:p>
        </w:tc>
        <w:tc>
          <w:tcPr>
            <w:tcW w:type="dxa" w:w="1080"/>
          </w:tcPr>
          <w:p>
            <w:pPr>
              <w:jc w:val="right"/>
            </w:pPr>
            <w:r>
              <w:rPr>
                <w:sz w:val="20"/>
              </w:rPr>
              <w:t>$345,000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1502924110002</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1.09</w:t>
            </w:r>
          </w:p>
        </w:tc>
        <w:tc>
          <w:tcPr>
            <w:tcW w:type="dxa" w:w="432"/>
          </w:tcPr>
          <w:p>
            <w:pPr>
              <w:jc w:val="right"/>
            </w:pPr>
            <w:r>
              <w:rPr>
                <w:sz w:val="20"/>
              </w:rPr>
              <w:t>-</w:t>
            </w:r>
          </w:p>
        </w:tc>
        <w:tc>
          <w:tcPr>
            <w:tcW w:type="dxa" w:w="1080"/>
          </w:tcPr>
          <w:p>
            <w:pPr>
              <w:jc w:val="right"/>
            </w:pPr>
            <w:r>
              <w:rPr>
                <w:sz w:val="20"/>
              </w:rPr>
              <w:t>$1,300,000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1502924110033</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0.66</w:t>
            </w:r>
          </w:p>
        </w:tc>
        <w:tc>
          <w:tcPr>
            <w:tcW w:type="dxa" w:w="432"/>
          </w:tcPr>
          <w:p>
            <w:pPr>
              <w:jc w:val="right"/>
            </w:pPr>
            <w:r>
              <w:rPr>
                <w:sz w:val="20"/>
              </w:rPr>
              <w:t>-</w:t>
            </w:r>
          </w:p>
        </w:tc>
        <w:tc>
          <w:tcPr>
            <w:tcW w:type="dxa" w:w="1080"/>
          </w:tcPr>
          <w:p>
            <w:pPr>
              <w:jc w:val="right"/>
            </w:pPr>
            <w:r>
              <w:rPr>
                <w:sz w:val="20"/>
              </w:rPr>
              <w:t>$189,000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1502924110034</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0.63</w:t>
            </w:r>
          </w:p>
        </w:tc>
        <w:tc>
          <w:tcPr>
            <w:tcW w:type="dxa" w:w="432"/>
          </w:tcPr>
          <w:p>
            <w:pPr>
              <w:jc w:val="right"/>
            </w:pPr>
            <w:r>
              <w:rPr>
                <w:sz w:val="20"/>
              </w:rPr>
              <w:t>-</w:t>
            </w:r>
          </w:p>
        </w:tc>
        <w:tc>
          <w:tcPr>
            <w:tcW w:type="dxa" w:w="1080"/>
          </w:tcPr>
          <w:p>
            <w:pPr>
              <w:jc w:val="right"/>
            </w:pPr>
            <w:r>
              <w:rPr>
                <w:sz w:val="20"/>
              </w:rPr>
              <w:t>$215,000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302924230102</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1.12</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302924240006</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0.12</w:t>
            </w:r>
          </w:p>
        </w:tc>
        <w:tc>
          <w:tcPr>
            <w:tcW w:type="dxa" w:w="432"/>
          </w:tcPr>
          <w:p>
            <w:pPr>
              <w:jc w:val="right"/>
            </w:pPr>
            <w:r>
              <w:rPr>
                <w:sz w:val="20"/>
              </w:rPr>
              <w:t>-</w:t>
            </w:r>
          </w:p>
        </w:tc>
        <w:tc>
          <w:tcPr>
            <w:tcW w:type="dxa" w:w="1080"/>
          </w:tcPr>
          <w:p>
            <w:pPr>
              <w:jc w:val="right"/>
            </w:pPr>
            <w:r>
              <w:rPr>
                <w:sz w:val="20"/>
              </w:rPr>
              <w:t>$83,200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tcPr>
          <w:p>
            <w:r>
              <w:rPr>
                <w:sz w:val="20"/>
              </w:rPr>
              <w:t>302924310012</w:t>
            </w:r>
          </w:p>
        </w:tc>
        <w:tc>
          <w:tcPr>
            <w:tcW w:type="dxa" w:w="1440"/>
          </w:tcPr>
          <w:p>
            <w:r>
              <w:rPr>
                <w:sz w:val="20"/>
              </w:rPr>
              <w:t>Hennepin</w:t>
            </w:r>
          </w:p>
        </w:tc>
        <w:tc>
          <w:tcPr>
            <w:tcW w:type="dxa" w:w="3888"/>
          </w:tcPr>
          <w:p>
            <w:r>
              <w:rPr>
                <w:sz w:val="20"/>
              </w:rPr>
              <w:t>Mississippi riverfront within Above the Falls Regional Park</w:t>
            </w:r>
          </w:p>
        </w:tc>
        <w:tc>
          <w:tcPr>
            <w:tcW w:type="dxa" w:w="1080"/>
          </w:tcPr>
          <w:p>
            <w:r>
              <w:rPr>
                <w:sz w:val="20"/>
              </w:rPr>
              <w:t>Fee Title</w:t>
            </w:r>
          </w:p>
        </w:tc>
        <w:tc>
          <w:tcPr>
            <w:tcW w:type="dxa" w:w="432"/>
          </w:tcPr>
          <w:p>
            <w:pPr>
              <w:jc w:val="right"/>
            </w:pPr>
            <w:r>
              <w:rPr>
                <w:sz w:val="20"/>
              </w:rPr>
              <w:t>3.25</w:t>
            </w:r>
          </w:p>
        </w:tc>
        <w:tc>
          <w:tcPr>
            <w:tcW w:type="dxa" w:w="432"/>
          </w:tcPr>
          <w:p>
            <w:pPr>
              <w:jc w:val="right"/>
            </w:pPr>
            <w:r>
              <w:rPr>
                <w:sz w:val="20"/>
              </w:rPr>
              <w:t>-</w:t>
            </w:r>
          </w:p>
        </w:tc>
        <w:tc>
          <w:tcPr>
            <w:tcW w:type="dxa" w:w="1080"/>
          </w:tcPr>
          <w:p>
            <w:pPr>
              <w:jc w:val="right"/>
            </w:pPr>
            <w:r>
              <w:rPr>
                <w:sz w:val="20"/>
              </w:rPr>
              <w:t>$934,800</w:t>
            </w:r>
          </w:p>
        </w:tc>
        <w:tc>
          <w:tcPr>
            <w:tcW w:type="dxa" w:w="1080"/>
          </w:tcPr>
          <w:p>
            <w:r>
              <w:rPr>
                <w:sz w:val="20"/>
              </w:rPr>
              <w:t>Private</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42.26</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$25,680,800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extents of Above the Falls Regional Park were determined through extensive community engagement as part of the RiverFirst vision in 2011 and 2012.  The boundary of this park is recognized by the Metropolitan Council and it includes both publicly owned and privately owned parcels.  The ultimate vision is to acquire and bring into MPRB ownership all parcels within the boundary.  Specific decisions around which parcels to acquire when is dependent on three main factors: willingness of the owner to sell, impact on completeness of the park, and available funding.</w:t>
      </w:r>
    </w:p>
    <w:p>
      <w:r>
        <w:rPr>
          <w:b/>
        </w:rPr>
        <w:t xml:space="preserve">2. List all adopted state, regional, or local natural resource plans in which the lands included in the parcel list are identified for the acquisition purposes you propose. Include the URL to the plan if one is available. </w:t>
        <w:br/>
      </w:r>
      <w:r>
        <w:t xml:space="preserve">Though not strictly a natural resources plan, the MPRB- and City of Minneapolis-adopted RiverFirst Vision calls for the acquisition and restoration of the entire riverfront in North and Northeast Minneapolis.  The principles of RiverFirst are displayed in MPRB's Master Plan for Above the Falls Regional Park, which has been adopted by the Board of Commissioners and the Metropolitan Council.  A link to the ATF Master Plan is found below. </w:t>
        <w:br/>
        <w:br/>
        <w:t>https://www.minneapolisparks.org/park_care__improvements/park_projects/current_projects/above-the-falls-regional-park-master-plan-update/</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Components of the restoration and management plan will include a description of current conditions, with a focus on hydrology, geology, and the aquatic biotic community as they apply to large river systems; description of a target restoration community, which is most likely to be partly an aquatic to emergent wetland/riparian system and partly an upland grassland or savanna system; a timeline for restoration; and guidance for ongoing management of the restored areas. The restoration plan will be included in the creation of any future construction plans for the project and will guide both future construction and ongoing management. This plan will be kept both in MPRB staff project files and in the MPRB archive, as well as posted publicly on the MPRB website.</w:t>
      </w:r>
    </w:p>
    <w:p>
      <w:r>
        <w:rPr>
          <w:b/>
        </w:rPr>
        <w:t xml:space="preserve">4. For each parcel to be conveyed to a State of Minnesota entity (e.g., DNR) after purchase, provide a statement confirming that county board approval will be obtained. </w:t>
        <w:br/>
      </w:r>
      <w:r>
        <w:t>Not applicable.</w:t>
      </w:r>
    </w:p>
    <w:p>
      <w:r>
        <w:rPr>
          <w:b/>
        </w:rPr>
        <w:t xml:space="preserve">5. If applicable (see M.S. 116P.17), provide a statement confirming that written approval from the DNR Commissioner will be obtained 10 business days prior to any final acquisition transaction. </w:t>
        <w:br/>
      </w:r>
      <w:r>
        <w:t>MPRB confirms that M.S. 116P.17 will be followed and that written approval from the DNR Commissioner will be obtained.</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308c6882-940.pdf</w:t>
          </w:r>
        </w:hyperlink>
      </w:r>
    </w:p>
    <w:p>
      <w:pPr>
        <w:pStyle w:val="Heading4"/>
        <w:spacing w:before="40" w:after="20"/>
      </w:pPr>
      <w:r>
        <w:rPr>
          <w:b/>
          <w:i/>
          <w:color w:val="000000"/>
          <w:sz w:val="24"/>
        </w:rPr>
        <w:t>Alternate Text for Map</w:t>
      </w:r>
    </w:p>
    <w:p>
      <w:r>
        <w:t>Page from the Above the Falls Regional Park Master Plan showing current private inholdings...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Resolution 2022-201</w:t>
            </w:r>
          </w:p>
        </w:tc>
        <w:tc>
          <w:tcPr>
            <w:tcW w:type="dxa" w:w="5400"/>
          </w:tcPr>
          <w:p>
            <w:r>
              <w:rPr>
                <w:sz w:val="20"/>
              </w:rPr>
            </w:r>
            <w:r>
              <w:rPr>
                <w:color w:val="000000" w:themeColor="hyperlink"/>
                <w:sz w:val="20"/>
                <w:u w:val="single"/>
              </w:rPr>
              <w:hyperlink r:id="rId13">
                <w:r>
                  <w:rPr/>
                  <w:t>f9941f1f-ff0.pdf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08c6882-940.pdf" TargetMode="External"/><Relationship Id="rId13" Type="http://schemas.openxmlformats.org/officeDocument/2006/relationships/hyperlink" Target="https://lccmrprojectmgmt.leg.mn/media/attachments/f9941f1f-ff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Above the Falls Regional Park Acquisition and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