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2023-202</w:t>
      </w:r>
    </w:p>
    <w:p>
      <w:r>
        <w:rPr>
          <w:b/>
        </w:rPr>
        <w:t xml:space="preserve">Proposal Title: </w:t>
      </w:r>
      <w:r>
        <w:t>Virus, Bacteria and Odorous Air Pollutant Control</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Development and demonstration of the feasibility of using low temperature microwave and nonthermal plasma (NTP) with catalysis enhancement for effective air sanitation for livestock and poultry facilities.</w:t>
      </w:r>
    </w:p>
    <w:p>
      <w:r>
        <w:rPr>
          <w:b/>
        </w:rPr>
        <w:t xml:space="preserve">Funds Requested: </w:t>
      </w:r>
      <w:r>
        <w:t>$499,000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remains one of the country’s top agricultural states. However, a major concern with livestock farming - airborne pollutants including pathogenic microorganisms, e.g., avian influenza virus (AIV), and odorous chemicals, e.g., ammonia and hydrogen sulfide, which pose great threats to animal and human health, economy, and environment, especially during Covid19. Bird flu caused by AIV is incredibly disruptive to the regional poultry industry due to massive culling of infected birds, and restrictions placed on poultry meat exports. In 2015 a regional outbreak in Minnesota resulted in an economic loss of estimated $647.2 million and affected over 2,500 jobs. This year the first cases of H5N1 in Minnesota were confirmed on March 25, 2022 soon after USDA Animal and Plant Health Inspection Service (APHIS) confirmed several findings of the presence of highly pathogenic avian influenza (HPAI) in wild waterfowl in the Atlantic flyways in January 2022. Other airborne pathogens in poultry barns and hog farms, which have potential to harm humans, include Salmonella, Staphylococcus, Streptococcus, and others may be harmful to humans. Odor-related issues range from mild complaints from neighboring communities to lawsuits resulting in costly stoppages in farming operations.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will be focused on the development and evaluation of innovative low temperature microwave (MW) and non-thermal plasma (NTP) processes and their use in reducing or eliminating airborne biological and chemical contaminants from animal production facilities. NTP is a partially ionized gas. When air is exposed to a strong electric field, it rapidly decomposes into a variety of reactive species including UV photons, high-energy electrons, reactive oxygen species, and others, and have successfully inactivated airborne viruses, bacteria, and fungal spores in our previous research. Low temperature microwave (MW) systems represent another emerging effective antimicrobial technology. Microwaves are a form of electromagnetic radiation, in the frequency range of 300MHz to 300GHz. MW-absorbing ceramic foam filters made of silicon carbide are incorporated into the system where viruses can be captured and disinfected more effectively and efficiently. In this project, we will develop a hurdled treatment unit for air sanitization and odor control in poultry facilities. The effect of the treatment on AIV viability, decomposition of ammonia, H2S, and removal of small particles will be evaluated. Furthermore, the economic, environmental, and health impacts will be analyzed.</w:t>
      </w:r>
    </w:p>
    <w:p>
      <w:pPr>
        <w:spacing w:after="60"/>
      </w:pPr>
      <w:r>
        <w:rPr>
          <w:b/>
        </w:rPr>
        <w:t xml:space="preserve">What are the specific project outcomes as they relate to the public purpose of protection, conservation, preservation, and enhancement of the state’s natural resources? </w:t>
      </w:r>
    </w:p>
    <w:p>
      <w:r>
        <w:t>The successful development of the proposed technology is expected to help protect human and animal health by removing hazardous airborne biological and chemical contaminants from poultry facilities. The knowledge acquired and technology developed may be extended beyond the poultry industry. With more than 18,000 registered feedlots in Minnesota, the proposed technology has a great potential to make a huge impact on controlling and reducing airborne pollutants in Minnesota livestock farms, as mentioned before, this would also be a great tool to relieve the public concern of the pandemic.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optimize and evaluate a MW system aided with catalysts</w:t>
      </w:r>
    </w:p>
    <w:p>
      <w:r>
        <w:rPr>
          <w:b/>
        </w:rPr>
        <w:t xml:space="preserve">Activity Budget: </w:t>
      </w:r>
      <w:r>
        <w:t>$190,000</w:t>
      </w:r>
    </w:p>
    <w:p>
      <w:r>
        <w:rPr>
          <w:b/>
        </w:rPr>
        <w:t xml:space="preserve">Activity Description: </w:t>
        <w:br/>
      </w:r>
      <w:r>
        <w:t>The optimization of the low temperature MW system will be based on our current system. Application of a bifunctional coating onto the ceramic foam support for the MW system will be tested. The coating is composed of zeolite material of high specific surface area, which can absorb moisture from the aerosol and therefore potentially improves the effect of trapping viruses onto the foam support. Then different types and doses of virucidal materials including TiO2 and CuO will be loaded onto the zeolites to further enhance the disinfection efficiency on AVI. Plus, design a heat recovery system so that the thermal energy in the exhaust air can be recycled to preheat untreated incoming air. Two additional ceramic foam sections will be added to both sides of the original foam reactor. While the microwave only heats the central section, the exhaust hot air enters into the opposite section and heats up the cold ceramic foam material, so the final temperature of the exhaust air can be reduced. When steady state is reached, the flow direction is reversed so that the residue heat will be used to preheat. Therefore, heat recovery is achieved and energy efficiency can be significantly increased.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Different catalysts will be prepared and characterized</w:t>
            </w:r>
          </w:p>
        </w:tc>
        <w:tc>
          <w:tcPr>
            <w:tcW w:type="dxa" w:w="2160"/>
          </w:tcPr>
          <w:p>
            <w:pPr>
              <w:jc w:val="right"/>
            </w:pPr>
            <w:r>
              <w:rPr>
                <w:sz w:val="20"/>
              </w:rPr>
              <w:t>December 31, 2023</w:t>
            </w:r>
          </w:p>
        </w:tc>
      </w:tr>
      <w:tr>
        <w:tc>
          <w:tcPr>
            <w:tcW w:type="dxa" w:w="8640"/>
          </w:tcPr>
          <w:p>
            <w:r>
              <w:rPr>
                <w:sz w:val="20"/>
              </w:rPr>
              <w:t>The heat recovery system will be designed and incorporated to the system</w:t>
            </w:r>
          </w:p>
        </w:tc>
        <w:tc>
          <w:tcPr>
            <w:tcW w:type="dxa" w:w="2160"/>
          </w:tcPr>
          <w:p>
            <w:pPr>
              <w:jc w:val="right"/>
            </w:pPr>
            <w:r>
              <w:rPr>
                <w:sz w:val="20"/>
              </w:rPr>
              <w:t>December 31, 2023</w:t>
            </w:r>
          </w:p>
        </w:tc>
      </w:tr>
      <w:tr>
        <w:tc>
          <w:tcPr>
            <w:tcW w:type="dxa" w:w="8640"/>
          </w:tcPr>
          <w:p>
            <w:r>
              <w:rPr>
                <w:sz w:val="20"/>
              </w:rPr>
              <w:t>The performance of the modified MW system will be investigated</w:t>
            </w:r>
          </w:p>
        </w:tc>
        <w:tc>
          <w:tcPr>
            <w:tcW w:type="dxa" w:w="2160"/>
          </w:tcPr>
          <w:p>
            <w:pPr>
              <w:jc w:val="right"/>
            </w:pPr>
            <w:r>
              <w:rPr>
                <w:sz w:val="20"/>
              </w:rPr>
              <w:t>June 30, 2024</w:t>
            </w:r>
          </w:p>
        </w:tc>
      </w:tr>
      <w:tr>
        <w:tc>
          <w:tcPr>
            <w:tcW w:type="dxa" w:w="8640"/>
          </w:tcPr>
          <w:p>
            <w:r>
              <w:rPr>
                <w:sz w:val="20"/>
              </w:rPr>
              <w:t>Energy efficiency will be evaluated</w:t>
            </w:r>
          </w:p>
        </w:tc>
        <w:tc>
          <w:tcPr>
            <w:tcW w:type="dxa" w:w="2160"/>
          </w:tcPr>
          <w:p>
            <w:pPr>
              <w:jc w:val="right"/>
            </w:pPr>
            <w:r>
              <w:rPr>
                <w:sz w:val="20"/>
              </w:rPr>
              <w:t>June 30, 2024</w:t>
            </w:r>
          </w:p>
        </w:tc>
      </w:tr>
    </w:tbl>
    <w:p/>
    <w:p>
      <w:pPr>
        <w:pStyle w:val="Heading3"/>
        <w:spacing w:after="60"/>
      </w:pPr>
      <w:r>
        <w:rPr>
          <w:b/>
          <w:color w:val="254885"/>
          <w:sz w:val="26"/>
        </w:rPr>
        <w:t>Activity 2: Design, fabricate, and test the NTP and MW treatment unit for destruction and removal of airborne contaminants in animal production facilities</w:t>
      </w:r>
    </w:p>
    <w:p>
      <w:r>
        <w:rPr>
          <w:b/>
        </w:rPr>
        <w:t xml:space="preserve">Activity Budget: </w:t>
      </w:r>
      <w:r>
        <w:t>$220,000</w:t>
      </w:r>
    </w:p>
    <w:p>
      <w:r>
        <w:rPr>
          <w:b/>
        </w:rPr>
        <w:t xml:space="preserve">Activity Description: </w:t>
        <w:br/>
      </w:r>
      <w:r>
        <w:t>We will first use our current lab NTP apparatus to develop and optimize the process. Additional promising reactor configurations will be tested. For instance, the feasibility of enhancing airborne contaminant removal using electrostatic precipitation will be examined. Also investigated is the incorporation of photocatalysis, such as using modified TiO2, which could be promoted under NTP conditions and therefore improve the effectiveness of the overall process. An optimal configuration, a set of optimized processing parameters, and preliminary scale-up parameters will be determined to guide the development of a prototype treatment unit that will fit the requirement of a small demonstration farm facility. The destruction and removal of key airborne contaminants, i.e., selected pathogens (AI virus, Salmonella) and odorous compounds (ammonia, H2S) will be evaluated when the unit is initially tested in labs.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NTP system will be modified</w:t>
            </w:r>
          </w:p>
        </w:tc>
        <w:tc>
          <w:tcPr>
            <w:tcW w:type="dxa" w:w="2160"/>
          </w:tcPr>
          <w:p>
            <w:pPr>
              <w:jc w:val="right"/>
            </w:pPr>
            <w:r>
              <w:rPr>
                <w:sz w:val="20"/>
              </w:rPr>
              <w:t>June 30, 2024</w:t>
            </w:r>
          </w:p>
        </w:tc>
      </w:tr>
      <w:tr>
        <w:tc>
          <w:tcPr>
            <w:tcW w:type="dxa" w:w="8640"/>
          </w:tcPr>
          <w:p>
            <w:r>
              <w:rPr>
                <w:sz w:val="20"/>
              </w:rPr>
              <w:t>Removal efficiency, air quality data, and energy efficiency will be evaluated</w:t>
            </w:r>
          </w:p>
        </w:tc>
        <w:tc>
          <w:tcPr>
            <w:tcW w:type="dxa" w:w="2160"/>
          </w:tcPr>
          <w:p>
            <w:pPr>
              <w:jc w:val="right"/>
            </w:pPr>
            <w:r>
              <w:rPr>
                <w:sz w:val="20"/>
              </w:rPr>
              <w:t>June 30, 2025</w:t>
            </w:r>
          </w:p>
        </w:tc>
      </w:tr>
      <w:tr>
        <w:tc>
          <w:tcPr>
            <w:tcW w:type="dxa" w:w="8640"/>
          </w:tcPr>
          <w:p>
            <w:r>
              <w:rPr>
                <w:sz w:val="20"/>
              </w:rPr>
              <w:t>An optimized system and process flow diagram will be delivered alongside with the comparison with the MW system</w:t>
            </w:r>
          </w:p>
        </w:tc>
        <w:tc>
          <w:tcPr>
            <w:tcW w:type="dxa" w:w="2160"/>
          </w:tcPr>
          <w:p>
            <w:pPr>
              <w:jc w:val="right"/>
            </w:pPr>
            <w:r>
              <w:rPr>
                <w:sz w:val="20"/>
              </w:rPr>
              <w:t>December 31, 2025</w:t>
            </w:r>
          </w:p>
        </w:tc>
      </w:tr>
    </w:tbl>
    <w:p/>
    <w:p>
      <w:pPr>
        <w:pStyle w:val="Heading3"/>
        <w:spacing w:after="60"/>
      </w:pPr>
      <w:r>
        <w:rPr>
          <w:b/>
          <w:color w:val="254885"/>
          <w:sz w:val="26"/>
        </w:rPr>
        <w:t>Activity 3: Assess potential positive environmental, health, and economic impacts of the strategy</w:t>
      </w:r>
    </w:p>
    <w:p>
      <w:r>
        <w:rPr>
          <w:b/>
        </w:rPr>
        <w:t xml:space="preserve">Activity Budget: </w:t>
      </w:r>
      <w:r>
        <w:t>$89,000</w:t>
      </w:r>
    </w:p>
    <w:p>
      <w:r>
        <w:rPr>
          <w:b/>
        </w:rPr>
        <w:t xml:space="preserve">Activity Description: </w:t>
        <w:br/>
      </w:r>
      <w:r>
        <w:t>After testing and study of the prototype unit in a lab setting, the units will be taken to a small poultry barn in University of Minnesota Rosemount Research and Outreach Center for field testing and demonstration. Data on destruction and removal of airborne contaminants, treatment capacity, energy consumption, and operation costs will be collected and analyzed. The environmental, health, and economic impacts of the strategy will be assessed under different scenarios.  Stakeholders will be brought to the demo site to view the system and operation.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Scale-up parameters will be determined for the optimized process flow</w:t>
            </w:r>
          </w:p>
        </w:tc>
        <w:tc>
          <w:tcPr>
            <w:tcW w:type="dxa" w:w="2160"/>
          </w:tcPr>
          <w:p>
            <w:pPr>
              <w:jc w:val="right"/>
            </w:pPr>
            <w:r>
              <w:rPr>
                <w:sz w:val="20"/>
              </w:rPr>
              <w:t>December 31, 2025</w:t>
            </w:r>
          </w:p>
        </w:tc>
      </w:tr>
      <w:tr>
        <w:tc>
          <w:tcPr>
            <w:tcW w:type="dxa" w:w="8640"/>
          </w:tcPr>
          <w:p>
            <w:r>
              <w:rPr>
                <w:sz w:val="20"/>
              </w:rPr>
              <w:t>Field test/demonstration system design will be completed</w:t>
            </w:r>
          </w:p>
        </w:tc>
        <w:tc>
          <w:tcPr>
            <w:tcW w:type="dxa" w:w="2160"/>
          </w:tcPr>
          <w:p>
            <w:pPr>
              <w:jc w:val="right"/>
            </w:pPr>
            <w:r>
              <w:rPr>
                <w:sz w:val="20"/>
              </w:rPr>
              <w:t>December 31, 2025</w:t>
            </w:r>
          </w:p>
        </w:tc>
      </w:tr>
      <w:tr>
        <w:tc>
          <w:tcPr>
            <w:tcW w:type="dxa" w:w="8640"/>
          </w:tcPr>
          <w:p>
            <w:r>
              <w:rPr>
                <w:sz w:val="20"/>
              </w:rPr>
              <w:t>Field test/demonstration system will be fabricated and tested in lab and on fields</w:t>
            </w:r>
          </w:p>
        </w:tc>
        <w:tc>
          <w:tcPr>
            <w:tcW w:type="dxa" w:w="2160"/>
          </w:tcPr>
          <w:p>
            <w:pPr>
              <w:jc w:val="right"/>
            </w:pPr>
            <w:r>
              <w:rPr>
                <w:sz w:val="20"/>
              </w:rPr>
              <w:t>June 30, 2026</w:t>
            </w:r>
          </w:p>
        </w:tc>
      </w:tr>
      <w:tr>
        <w:tc>
          <w:tcPr>
            <w:tcW w:type="dxa" w:w="8640"/>
          </w:tcPr>
          <w:p>
            <w:r>
              <w:rPr>
                <w:sz w:val="20"/>
              </w:rPr>
              <w:t>The field test/demonstration system will be demonstrated in WCROC to the stakeholders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New scientific knowledge and experience on NTP and MW based processes for removal of airborne contaminants from poultry barns will be acquired. The operation and demonstration on farms will raise significant interests from the stakeholders. We will seek industry partners and private, state, and federal funding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Ruan, Professor and Director of Graduate Studies of Bioproducts and Biosystems Engineering Department, and Director of Center for Biorefining at University of Minnesota, is a Fellow of ASABE, IFT, Vebleo, and IAAM, and has received many other awards, including CAFS Professional Achievement and Scientist of IAAM, etc. He is a top cited author in engineering and technology with an h-index of 80, i10-index of 392, and has over 25,000 citations. Dr. Ruan’s research include renewable energy and environment technologies for sustainable development. He has published over 500 referred journal articles, two books, 24 book chapters, and holds 20 US patents in the areas of municipal, agricultural, and industrial liquid and solid waste including biomass and waste plastics treatment and utilization through novel anaerobic digestion, microalgae and hydroponic cultivation, pyrolysis and gasification, airborne and other pathogen disinfection and pollutant control, catalysis, non-thermal plasma, and nitrogen fixation, etc. He has received over 200 grants totaling over $45 million in various funding for research, including major grants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He has supervised over 75 graduate students, 140 post-doctors, research fellows, and other engineers and scientists. He has given over 300 keynote lectures, invited symposium presentations, and short courses. His earlier LCCMR funded projects have resulted in several patented technologies which have been successfully licensed to the industry.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Primary Investigator - project lead, advises researchers, plans and directs research, oversees budget, monitors and reports progress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$15,940</w:t>
            </w:r>
          </w:p>
        </w:tc>
      </w:tr>
      <w:tr>
        <w:tc>
          <w:tcPr>
            <w:tcW w:type="dxa" w:w="864"/>
          </w:tcPr>
          <w:p>
            <w:r>
              <w:rPr>
                <w:sz w:val="20"/>
              </w:rPr>
              <w:t>Professor/faculty</w:t>
            </w:r>
          </w:p>
        </w:tc>
        <w:tc>
          <w:tcPr>
            <w:tcW w:type="dxa" w:w="1440"/>
          </w:tcPr>
          <w:p>
            <w:r>
              <w:rPr>
                <w:sz w:val="20"/>
              </w:rPr>
            </w:r>
          </w:p>
        </w:tc>
        <w:tc>
          <w:tcPr>
            <w:tcW w:type="dxa" w:w="5472"/>
          </w:tcPr>
          <w:p>
            <w:r>
              <w:rPr>
                <w:sz w:val="20"/>
              </w:rPr>
              <w:t>Co-Primary Investigator - advises researchers, designs and directs experiments, conducts data analysis, writes reports and publications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$69,062</w:t>
            </w:r>
          </w:p>
        </w:tc>
      </w:tr>
      <w:tr>
        <w:tc>
          <w:tcPr>
            <w:tcW w:type="dxa" w:w="864"/>
          </w:tcPr>
          <w:p>
            <w:r>
              <w:rPr>
                <w:sz w:val="20"/>
              </w:rPr>
              <w:t>1 Graduate Research Assistant</w:t>
            </w:r>
          </w:p>
        </w:tc>
        <w:tc>
          <w:tcPr>
            <w:tcW w:type="dxa" w:w="1440"/>
          </w:tcPr>
          <w:p>
            <w:r>
              <w:rPr>
                <w:sz w:val="20"/>
              </w:rPr>
            </w:r>
          </w:p>
        </w:tc>
        <w:tc>
          <w:tcPr>
            <w:tcW w:type="dxa" w:w="5472"/>
          </w:tcPr>
          <w:p>
            <w:r>
              <w:rPr>
                <w:sz w:val="20"/>
              </w:rPr>
              <w:t>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$160,139</w:t>
            </w:r>
          </w:p>
        </w:tc>
      </w:tr>
      <w:tr>
        <w:tc>
          <w:tcPr>
            <w:tcW w:type="dxa" w:w="864"/>
          </w:tcPr>
          <w:p>
            <w:r>
              <w:rPr>
                <w:sz w:val="20"/>
              </w:rPr>
              <w:t>Post Doctoral Reseracher</w:t>
            </w:r>
          </w:p>
        </w:tc>
        <w:tc>
          <w:tcPr>
            <w:tcW w:type="dxa" w:w="1440"/>
          </w:tcPr>
          <w:p>
            <w:r>
              <w:rPr>
                <w:sz w:val="20"/>
              </w:rPr>
            </w:r>
          </w:p>
        </w:tc>
        <w:tc>
          <w:tcPr>
            <w:tcW w:type="dxa" w:w="5472"/>
          </w:tcPr>
          <w:p>
            <w:r>
              <w:rPr>
                <w:sz w:val="20"/>
              </w:rPr>
              <w:t>designs and 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$185,001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$430,142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equipment manufacturer</w:t>
            </w:r>
          </w:p>
        </w:tc>
        <w:tc>
          <w:tcPr>
            <w:tcW w:type="dxa" w:w="1440"/>
          </w:tcPr>
          <w:p>
            <w:r>
              <w:rPr>
                <w:sz w:val="20"/>
              </w:rPr>
              <w:t>Professional or Technical Service Contract</w:t>
            </w:r>
          </w:p>
        </w:tc>
        <w:tc>
          <w:tcPr>
            <w:tcW w:type="dxa" w:w="5472"/>
          </w:tcPr>
          <w:p>
            <w:r>
              <w:rPr>
                <w:sz w:val="20"/>
              </w:rPr>
              <w:t>Maintenance and repair, including callibration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Components for fabrication of a small pilot system including reactor vessel, high voltage power supply, catalysts, pumps, membrane separator</w:t>
            </w:r>
          </w:p>
        </w:tc>
        <w:tc>
          <w:tcPr>
            <w:tcW w:type="dxa" w:w="4032"/>
          </w:tcPr>
          <w:p>
            <w:r>
              <w:rPr>
                <w:sz w:val="20"/>
              </w:rPr>
              <w:t>To fabricate a small pilot system for extensive testing, cost analysis, and demonstration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catalysts, chemicals, consumable supplies for analytical instruments</w:t>
            </w:r>
          </w:p>
        </w:tc>
        <w:tc>
          <w:tcPr>
            <w:tcW w:type="dxa" w:w="4032"/>
          </w:tcPr>
          <w:p>
            <w:r>
              <w:rPr>
                <w:sz w:val="20"/>
              </w:rPr>
              <w:t>For running experiments and operating conversion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$31,858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$56,858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one-day 3-person trips, ~100 miles each round trip ($0.585/mile), meals @$49/person</w:t>
            </w:r>
          </w:p>
        </w:tc>
        <w:tc>
          <w:tcPr>
            <w:tcW w:type="dxa" w:w="4032"/>
          </w:tcPr>
          <w:p>
            <w:r>
              <w:rPr>
                <w:sz w:val="20"/>
              </w:rPr>
              <w:t>Visits to farms, conduct experiments on farms and industry collaborators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79fe8407-907.pdf</w:t>
          </w:r>
        </w:hyperlink>
      </w:r>
    </w:p>
    <w:p>
      <w:pPr>
        <w:pStyle w:val="Heading4"/>
        <w:spacing w:before="40" w:after="20"/>
      </w:pPr>
      <w:r>
        <w:rPr>
          <w:b/>
          <w:i/>
          <w:color w:val="000000"/>
          <w:sz w:val="24"/>
        </w:rPr>
        <w:t>Alternate Text for Visual Component</w:t>
      </w:r>
    </w:p>
    <w:p>
      <w:r>
        <w:t>Showing the process flow diagram, sources of biohazards, key technical approaches, and outcomes and benefits of the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audit</w:t>
            </w:r>
          </w:p>
        </w:tc>
        <w:tc>
          <w:tcPr>
            <w:tcW w:type="dxa" w:w="5400"/>
          </w:tcPr>
          <w:p>
            <w:r>
              <w:rPr>
                <w:sz w:val="20"/>
              </w:rPr>
            </w:r>
            <w:r>
              <w:rPr>
                <w:color w:val="000000" w:themeColor="hyperlink"/>
                <w:sz w:val="20"/>
                <w:u w:val="single"/>
              </w:rPr>
              <w:hyperlink r:id="rId13">
                <w:r>
                  <w:rPr/>
                  <w:t>c0bec3bb-235.pdf</w:t>
                </w:r>
              </w:hyperlink>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4">
                <w:r>
                  <w:rPr/>
                  <w:t>2c1346e3-4e2.pdf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9fe8407-907.pdf" TargetMode="External"/><Relationship Id="rId13" Type="http://schemas.openxmlformats.org/officeDocument/2006/relationships/hyperlink" Target="https://lccmrprojectmgmt.leg.mn/media/attachments/c0bec3bb-235.pdf" TargetMode="External"/><Relationship Id="rId14" Type="http://schemas.openxmlformats.org/officeDocument/2006/relationships/hyperlink" Target="https://lccmrprojectmgmt.leg.mn/media/attachments/2c1346e3-4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Virus, Bacteria and Odorous Air Pollutant Control</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