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2023-197</w:t>
      </w:r>
    </w:p>
    <w:p>
      <w:r>
        <w:rPr>
          <w:b/>
        </w:rPr>
        <w:t xml:space="preserve">Proposal Title: </w:t>
      </w:r>
      <w:r>
        <w:t>Remove Chemical and Biological Contaminants from Minnesota Soils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and examine the feasibility of using a continuous low-cost microwave-assisted treatment system for destruction of organic contaminants in Minnesota soils.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Chemical products used by human activities produce lots of organic contaminants, such as microplastics, pesticides, VOCs, PFASs, antibiotics, etc., posing a significant threat to our ecosystem and health. For example, the MDH and MPCA found several east metro sites including the 3M Cottage Grove manufacturing facility and large waste disposal facilities where PFAS-bearing wastes were disposed of. On March 22, 2022, the MPCA said it would collect monitoring data from 379 facilities identified as potential emitters of PFAS. The list includes 137 manufacturing or industrial facilities, 91 city sewage treatment plants and 143 landfills or solid waste sites. Any economically viable technology to remove these organic contaminants from soil would significantly reduce pollution and improve food and drinking water safety. Currently, the most common physicochemical soil remediation technologies include extracted washing, electrokinetic remediation, chemical oxidation, nanomaterials remediation and biological remediation. However, these methods have many limitations including the requirement of strict acidic conditions, infeasibility to deconstruct refractory organic pollutants, making them unattractive. Owing to the different physical and chemical properties of diverse pollutants, their responses to the remediation technology are different. Therefore, developing a robust remediation technology for complicated organic-contaminated soil is urgently needed to protect public health and environment.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Microwave-assisted pyrolysis is one such promising and economically viable approach to the destruction of complicated organic contaminants. Our previous studies show that the microwave-assisted pyrolysis relies on both thermal and catalytic cracking mechanisms in degrading organic contaminants. This project is designed to develop a continuous microwave-assisted pyrolysis system for complicated organic-contaminated soil remediation. The project addresses Priority H: Methods to Protect or Restore Land, Water, and Habitat.</w:t>
        <w:br/>
        <w:t>The overall goal of our research program is to demonstrate proof-of-concept of the proposed method for removing complicated organic contaminants and assess the potential generation of toxic byproducts during the treatment. The proposed technology treats contaminated soil via a continuous microwave-assisted pyrolysis process, and uses biochar or silicon carbide to enhance microwave absorption. The specific objectives of the project include:</w:t>
        <w:br/>
        <w:t>- Process development: develop the processes and apparatuses for the evaluation; examine the effectiveness of the process and system in degrading organic contaminants in soil samples; optimization of the process.</w:t>
        <w:br/>
        <w:t>- Impact assessment: assess the potential generation of toxic byproducts; conduct preliminary analysis of economic feasibility and energy efficiency.</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will include the understanding of how organic contaminants in Minnesota soil respond to the proposed treatment, the potential of microwave-assisted pyrolysis technology to become technically and financially viable for complicated organic contaminated soil remediation and restoration and generation/mitigation of toxic byproducts during the treatments, protecting the Minnesota’s soil resource, drinking water and food safety, and human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Initial test of continuous microwave assisted pyrolysis of contaminated soil</w:t>
      </w:r>
    </w:p>
    <w:p>
      <w:r>
        <w:rPr>
          <w:b/>
        </w:rPr>
        <w:t xml:space="preserve">Activity Budget: </w:t>
      </w:r>
      <w:r>
        <w:t>$150,000</w:t>
      </w:r>
    </w:p>
    <w:p>
      <w:r>
        <w:rPr>
          <w:b/>
        </w:rPr>
        <w:t xml:space="preserve">Activity Description: </w:t>
        <w:br/>
      </w:r>
      <w:r>
        <w:t>It is known that high temperature treatment could result in the formation of new contaminants that can be more toxic and persistent than the parent compounds. This leads to high operating costs because of increased treatment time or disposal of formed byproducts. Therefore, how the proposed method behaves in terms of complete removal of organic contaminants and the generation of toxic byproducts needs to be studied in detail. To understand this, we will analyze some key intermediates and flue gas of organic contaminants breakdown during the microwave-assisted pyrolysis. Using this information, we will attempt to optimize the microwave-assisted pyrolysis processes to minimize the generation of toxic byproducts. The secondary ex-situ catalytic reactor may be designed to destruct hazardous volatiles generated during the microwave-assisted pyrolysis treatment, further minimizing any potential risk of hazardous gasses escaping from the treatment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the compositions of gas product</w:t>
            </w:r>
          </w:p>
        </w:tc>
        <w:tc>
          <w:tcPr>
            <w:tcW w:type="dxa" w:w="2160"/>
          </w:tcPr>
          <w:p>
            <w:pPr>
              <w:jc w:val="right"/>
            </w:pPr>
            <w:r>
              <w:rPr>
                <w:sz w:val="20"/>
              </w:rPr>
              <w:t>June 30, 2024</w:t>
            </w:r>
          </w:p>
        </w:tc>
      </w:tr>
      <w:tr>
        <w:tc>
          <w:tcPr>
            <w:tcW w:type="dxa" w:w="8640"/>
          </w:tcPr>
          <w:p>
            <w:r>
              <w:rPr>
                <w:sz w:val="20"/>
              </w:rPr>
              <w:t>Ex-situ catalytic reactor development</w:t>
            </w:r>
          </w:p>
        </w:tc>
        <w:tc>
          <w:tcPr>
            <w:tcW w:type="dxa" w:w="2160"/>
          </w:tcPr>
          <w:p>
            <w:pPr>
              <w:jc w:val="right"/>
            </w:pPr>
            <w:r>
              <w:rPr>
                <w:sz w:val="20"/>
              </w:rPr>
              <w:t>June 30, 2024</w:t>
            </w:r>
          </w:p>
        </w:tc>
      </w:tr>
      <w:tr>
        <w:tc>
          <w:tcPr>
            <w:tcW w:type="dxa" w:w="8640"/>
          </w:tcPr>
          <w:p>
            <w:r>
              <w:rPr>
                <w:sz w:val="20"/>
              </w:rPr>
              <w:t>Further optimization of the proposed process</w:t>
            </w:r>
          </w:p>
        </w:tc>
        <w:tc>
          <w:tcPr>
            <w:tcW w:type="dxa" w:w="2160"/>
          </w:tcPr>
          <w:p>
            <w:pPr>
              <w:jc w:val="right"/>
            </w:pPr>
            <w:r>
              <w:rPr>
                <w:sz w:val="20"/>
              </w:rPr>
              <w:t>December 31, 2024</w:t>
            </w:r>
          </w:p>
        </w:tc>
      </w:tr>
    </w:tbl>
    <w:p/>
    <w:p>
      <w:pPr>
        <w:pStyle w:val="Heading3"/>
        <w:spacing w:after="60"/>
      </w:pPr>
      <w:r>
        <w:rPr>
          <w:b/>
          <w:color w:val="254885"/>
          <w:sz w:val="26"/>
        </w:rPr>
        <w:t>Activity 2: Evaluate the potential economic, environmental and ecological impacts of the proposed technology</w:t>
      </w:r>
    </w:p>
    <w:p>
      <w:r>
        <w:rPr>
          <w:b/>
        </w:rPr>
        <w:t xml:space="preserve">Activity Budget: </w:t>
      </w:r>
      <w:r>
        <w:t>$50,000</w:t>
      </w:r>
    </w:p>
    <w:p>
      <w:r>
        <w:rPr>
          <w:b/>
        </w:rPr>
        <w:t xml:space="preserve">Activity Description: </w:t>
        <w:br/>
      </w:r>
      <w:r>
        <w:t>For this small project, we plan to conduct preliminary studies to provide big pictures of the potential economic, environmental and ecological impacts of the proposed technology. Additional data on mass and energy balance will be collected. Greenhouse gas emission and other potential toxic pollutants during the process will be monitored.  An input-output model will be used for economic analysis. The energy consumption will be also considered in the assessment of environmental and ecological impacts of the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of mass and energy balance data</w:t>
            </w:r>
          </w:p>
        </w:tc>
        <w:tc>
          <w:tcPr>
            <w:tcW w:type="dxa" w:w="2160"/>
          </w:tcPr>
          <w:p>
            <w:pPr>
              <w:jc w:val="right"/>
            </w:pPr>
            <w:r>
              <w:rPr>
                <w:sz w:val="20"/>
              </w:rPr>
              <w:t>December 31, 2024</w:t>
            </w:r>
          </w:p>
        </w:tc>
      </w:tr>
      <w:tr>
        <w:tc>
          <w:tcPr>
            <w:tcW w:type="dxa" w:w="8640"/>
          </w:tcPr>
          <w:p>
            <w:r>
              <w:rPr>
                <w:sz w:val="20"/>
              </w:rPr>
              <w:t>Preliminary assessment of economic, environmental, and ecological impacts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of this effort will be used for seeking funding from  external agencies such as the National Science Foundation and the US Department of Energy. The potential economic, environmental and ecological impacts will be also presented to the stakeholders to raise their awareness and attract their support. We will seek industry partners and private, state, and federal funding to further develop and eventually implement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$26,302</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$28,490</w:t>
            </w:r>
          </w:p>
        </w:tc>
      </w:tr>
      <w:tr>
        <w:tc>
          <w:tcPr>
            <w:tcW w:type="dxa" w:w="864"/>
          </w:tcPr>
          <w:p>
            <w:r>
              <w:rPr>
                <w:sz w:val="20"/>
              </w:rPr>
              <w:t>1 Graduate Research Assistant</w:t>
            </w:r>
          </w:p>
        </w:tc>
        <w:tc>
          <w:tcPr>
            <w:tcW w:type="dxa" w:w="1440"/>
          </w:tcPr>
          <w:p>
            <w:r>
              <w:rPr>
                <w:sz w:val="20"/>
              </w:rPr>
            </w:r>
          </w:p>
        </w:tc>
        <w:tc>
          <w:tcPr>
            <w:tcW w:type="dxa" w:w="5472"/>
          </w:tcPr>
          <w:p>
            <w:r>
              <w:rPr>
                <w:sz w:val="20"/>
              </w:rPr>
              <w:t>Researcher -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$105,699</w:t>
            </w:r>
          </w:p>
        </w:tc>
      </w:tr>
      <w:tr>
        <w:tc>
          <w:tcPr>
            <w:tcW w:type="dxa" w:w="864"/>
          </w:tcPr>
          <w:p>
            <w:r>
              <w:rPr>
                <w:sz w:val="20"/>
              </w:rPr>
              <w:t>1 Technician</w:t>
            </w:r>
          </w:p>
        </w:tc>
        <w:tc>
          <w:tcPr>
            <w:tcW w:type="dxa" w:w="1440"/>
          </w:tcPr>
          <w:p>
            <w:r>
              <w:rPr>
                <w:sz w:val="20"/>
              </w:rPr>
            </w:r>
          </w:p>
        </w:tc>
        <w:tc>
          <w:tcPr>
            <w:tcW w:type="dxa" w:w="5472"/>
          </w:tcPr>
          <w:p>
            <w:r>
              <w:rPr>
                <w:sz w:val="20"/>
              </w:rPr>
              <w:t>Researcher - sets up equipment and apparatuses, carries out experiments and collects data.</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$23,650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$184,141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parts and components for reactor fabrication and modification, catalysts, chemicals, consumable supplies for analytical instruments</w:t>
            </w:r>
          </w:p>
        </w:tc>
        <w:tc>
          <w:tcPr>
            <w:tcW w:type="dxa" w:w="4032"/>
          </w:tcPr>
          <w:p>
            <w:r>
              <w:rPr>
                <w:sz w:val="20"/>
              </w:rPr>
              <w:t>For running experiments and operating treatment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$14,859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$14,859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 one-day 3-person trips, ~100 miles each round trip ($0.585/mile), meals @$49/person</w:t>
            </w:r>
          </w:p>
        </w:tc>
        <w:tc>
          <w:tcPr>
            <w:tcW w:type="dxa" w:w="4032"/>
          </w:tcPr>
          <w:p>
            <w:r>
              <w:rPr>
                <w:sz w:val="20"/>
              </w:rPr>
              <w:t>Visits to contaminated soil sites, collect samples, conduct experiments 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5424adb5-3f3.pdf</w:t>
          </w:r>
        </w:hyperlink>
      </w:r>
    </w:p>
    <w:p>
      <w:pPr>
        <w:pStyle w:val="Heading4"/>
        <w:spacing w:before="40" w:after="20"/>
      </w:pPr>
      <w:r>
        <w:rPr>
          <w:b/>
          <w:i/>
          <w:color w:val="000000"/>
          <w:sz w:val="24"/>
        </w:rPr>
        <w:t>Alternate Text for Visual Component</w:t>
      </w:r>
    </w:p>
    <w:p>
      <w:r>
        <w:t>Shows background and summary of the project, technical approaches, and outcomes and benefits of the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audit</w:t>
            </w:r>
          </w:p>
        </w:tc>
        <w:tc>
          <w:tcPr>
            <w:tcW w:type="dxa" w:w="5400"/>
          </w:tcPr>
          <w:p>
            <w:r>
              <w:rPr>
                <w:sz w:val="20"/>
              </w:rPr>
            </w:r>
            <w:r>
              <w:rPr>
                <w:color w:val="000000" w:themeColor="hyperlink"/>
                <w:sz w:val="20"/>
                <w:u w:val="single"/>
              </w:rPr>
              <w:hyperlink r:id="rId13">
                <w:r>
                  <w:rPr/>
                  <w:t>5cdf49ea-095.pdf</w:t>
                </w:r>
              </w:hyperlink>
            </w:r>
          </w:p>
        </w:tc>
      </w:tr>
      <w:tr>
        <w:tc>
          <w:tcPr>
            <w:tcW w:type="dxa" w:w="5400"/>
          </w:tcPr>
          <w:p>
            <w:r>
              <w:rPr>
                <w:sz w:val="20"/>
              </w:rPr>
              <w:t>Insitutional Authorization to Submit</w:t>
            </w:r>
          </w:p>
        </w:tc>
        <w:tc>
          <w:tcPr>
            <w:tcW w:type="dxa" w:w="5400"/>
          </w:tcPr>
          <w:p>
            <w:r>
              <w:rPr>
                <w:sz w:val="20"/>
              </w:rPr>
            </w:r>
            <w:r>
              <w:rPr>
                <w:color w:val="000000" w:themeColor="hyperlink"/>
                <w:sz w:val="20"/>
                <w:u w:val="single"/>
              </w:rPr>
              <w:hyperlink r:id="rId14">
                <w:r>
                  <w:rPr/>
                  <w:t>d45475a0-732.pdf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424adb5-3f3.pdf" TargetMode="External"/><Relationship Id="rId13" Type="http://schemas.openxmlformats.org/officeDocument/2006/relationships/hyperlink" Target="https://lccmrprojectmgmt.leg.mn/media/attachments/5cdf49ea-095.pdf" TargetMode="External"/><Relationship Id="rId14" Type="http://schemas.openxmlformats.org/officeDocument/2006/relationships/hyperlink" Target="https://lccmrprojectmgmt.leg.mn/media/attachments/d45475a0-7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Remove Chemical and Biological Contaminants from Minnesota Soils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