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2023-177</w:t>
      </w:r>
    </w:p>
    <w:p>
      <w:r>
        <w:rPr>
          <w:b/>
        </w:rPr>
        <w:t xml:space="preserve">Proposal Title: </w:t>
      </w:r>
      <w:r>
        <w:t>Quantifying Environmental Benefits of Peatland Restoration in Minnesota</w:t>
      </w:r>
    </w:p>
    <w:p/>
    <w:p>
      <w:pPr>
        <w:pStyle w:val="Heading2"/>
        <w:spacing w:before="0" w:after="80"/>
      </w:pPr>
      <w:r>
        <w:rPr>
          <w:b/>
          <w:color w:val="2C559C"/>
          <w:sz w:val="28"/>
        </w:rPr>
        <w:t>Project Manager Information</w:t>
      </w:r>
    </w:p>
    <w:p>
      <w:r>
        <w:rPr>
          <w:b/>
        </w:rPr>
        <w:t xml:space="preserve">Name: </w:t>
      </w:r>
      <w:r>
        <w:t>John Nieber</w:t>
      </w:r>
    </w:p>
    <w:p>
      <w:r>
        <w:rPr>
          <w:b/>
        </w:rPr>
        <w:t xml:space="preserve">Organization: </w:t>
      </w:r>
      <w:r>
        <w:t>U of MN - College of Food, Agricultural and Natural Resource Sciences</w:t>
      </w:r>
    </w:p>
    <w:p>
      <w:r>
        <w:rPr>
          <w:b/>
        </w:rPr>
        <w:t xml:space="preserve">Office Telephone: </w:t>
      </w:r>
      <w:r>
        <w:t>(651) 249-8698</w:t>
      </w:r>
    </w:p>
    <w:p>
      <w:r>
        <w:rPr>
          <w:b/>
        </w:rPr>
        <w:t xml:space="preserve">Email: </w:t>
      </w:r>
      <w:r>
        <w:t>nieber@umn.edu</w:t>
      </w:r>
    </w:p>
    <w:p/>
    <w:p>
      <w:pPr>
        <w:pStyle w:val="Heading2"/>
        <w:spacing w:before="0" w:after="80"/>
      </w:pPr>
      <w:r>
        <w:rPr>
          <w:b/>
          <w:color w:val="2C559C"/>
          <w:sz w:val="28"/>
        </w:rPr>
        <w:t>Project Basic Information</w:t>
      </w:r>
    </w:p>
    <w:p>
      <w:r>
        <w:rPr>
          <w:b/>
        </w:rPr>
        <w:t xml:space="preserve">Project Summary: </w:t>
      </w:r>
      <w:r>
        <w:t>We will quantify the capacity of restored peatlands to store and accumulate atmospheric carbon and their capacity to prevent release of accumulated mercury into streams, rivers and lakes.</w:t>
      </w:r>
    </w:p>
    <w:p>
      <w:r>
        <w:rPr>
          <w:b/>
        </w:rPr>
        <w:t xml:space="preserve">Funds Requested: </w:t>
      </w:r>
      <w:r>
        <w:t>$766,000</w:t>
      </w:r>
    </w:p>
    <w:p>
      <w:r>
        <w:rPr>
          <w:b/>
        </w:rPr>
        <w:t xml:space="preserve">Proposed Project Completion: </w:t>
      </w:r>
      <w:r>
        <w:t>June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NW</w:t>
      </w:r>
      <w:r>
        <w:t xml:space="preserve">, </w:t>
      </w:r>
    </w:p>
    <w:p>
      <w:r>
        <w:rPr>
          <w:b/>
        </w:rPr>
        <w:t xml:space="preserve">What is the best scale to describe the area impacted by your work?  </w:t>
        <w:br/>
        <w:tab/>
      </w:r>
      <w:r>
        <w:t xml:space="preserve">Region(s): </w:t>
      </w:r>
      <w:r>
        <w:t>NE</w:t>
      </w:r>
      <w:r>
        <w:t xml:space="preserve">, </w:t>
      </w:r>
      <w:r>
        <w:t>NW</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Over 6 million acres (~12%) of Minnesota is peatlands, many of which were drained using thousands of miles of ditches in the early 20th century. These ditches, now commonly abandoned but still draining the peatlands, contribute to degradation of this unique ecosystem and lead to the release of large amounts of greenhouse gases to the atmosphere and mercury into streams. The greenhouse gases contribute to global climate change, and the mercury threatens the health and livelihoods of Minnesotans. There is potential for restoration of hundreds of thousands of acres of peatlands degraded by these ditches, and while some peatland restoration is already underway, we do not know the net water and air quality benefits of such restorations. This information is critical for developing science-based restoration policies and guidelines (e.g., The Nature Conservancy’s Peatland Playbook). However, some policy-relevant scientific uncertainties must be addressed prior to expanding into large-scale restoration. Specifically, we need to determine the likely net environmental benefits of these restoration efforts on both greenhouse gases and mercury export to develop practical responses based on sound science. The proposed effort would provide information needed by state agencies and tribal partners to make informed management decisions.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fill the knowledge gap relating to comprehensive impacts of peatland ditch restoration on air and water quality using a three-pronged approach. First, by doing a synthesis of existing literature from other regions we will provide a foundation for decision-making based on current science. Second, by performing field research, we will determine likely effects of peatland restoration on net greenhouse gas fluxes and streamwater mercury. The field research will be located at peatlands that were restored ~ 1 (Sprague Creek, Lost River State Forest), ~5 (Sax-zim Bog) and ~ 23 (Browns Lake Bog) years prior to sampling, paired with nearby unrestored sites. This will allow us to determine short- and longer-term benefits of restoration. We will use tower- and chamber-based methods to measure the movement of carbon dioxide, methane, and mercury into and out of peatlands. We will sample water in streams draining peatlands to assess the effect of ditching on mercury export. Third we’ll develop models to scale-up the field results.  The three investigations will be synthesized into management and policy guidance  and peer-reviewed publications,. Partner organizations can use this to assess the net benefit of peatland restoration and prioritize projects for maximum benefit.</w:t>
      </w:r>
    </w:p>
    <w:p>
      <w:pPr>
        <w:spacing w:after="60"/>
      </w:pPr>
      <w:r>
        <w:rPr>
          <w:b/>
        </w:rPr>
        <w:t xml:space="preserve">What are the specific project outcomes as they relate to the public purpose of protection, conservation, preservation, and enhancement of the state’s natural resources? </w:t>
      </w:r>
    </w:p>
    <w:p>
      <w:r>
        <w:t>There is little data from Minnesota on the net benefits of peatland restoration. This study will provide a science synthesis, detailing peatland drainage and restoration impacts, and management and policy options, enabling state agencies to make science-based decisions about the net costs/benefits of peatland restoration for air (carbon dioxide and methane), climate, and water quality (mercury). Specifically, we will synthesize the policy-relevant scientific literature and perform new field studies on restoration impacts on net emissions of greenhouse gases, and net export of mercury into streamwater. Results and policy options will be shared in reports, peer-reviewed publications, and stakeholder meetings.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Determination of likely impacts of peatland restoration on climate and water quality based on current scientific literature</w:t>
      </w:r>
    </w:p>
    <w:p>
      <w:r>
        <w:rPr>
          <w:b/>
        </w:rPr>
        <w:t xml:space="preserve">Activity Budget: </w:t>
      </w:r>
      <w:r>
        <w:t>$54,000</w:t>
      </w:r>
    </w:p>
    <w:p>
      <w:r>
        <w:rPr>
          <w:b/>
        </w:rPr>
        <w:t xml:space="preserve">Activity Description: </w:t>
        <w:br/>
      </w:r>
      <w:r>
        <w:t>Although there are studies of drainage effects on greenhouse gases and mercury in peatlands and water, none is focused on effects of restoration in Minnesota, and there is no comprehensive policy-relevant synthesis on the effects of peatland drainage and restoration on greenhouse gases (carbon dioxide, methane) and streamwater mercury in our region. To guide policy and management decisions for Minnesota we need data based on local studies. The impact of restoration activities is highly dependent on climate, vegetation, land use history and peat properties. We will carry out a thorough synthesis of existing studies from similar ecosystems to determine the likely impact of restoration of Minnesota peatlands on air and water quality. This literature synthesis will identify key areas of agreement and uncertainties in impacts of drainage and restoration on greenhouse gases and water quality. A report summarizing these findings will be developed in partnersip with TNC and state agency partners, made public, and presented to stakeholders (state agencies, legislators, NGOS, environmental investment organizations, tribes, the public) in public meetings.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Literature review and report on peatland drainage and restoration on greenhouse gases and climate</w:t>
            </w:r>
          </w:p>
        </w:tc>
        <w:tc>
          <w:tcPr>
            <w:tcW w:type="dxa" w:w="2160"/>
          </w:tcPr>
          <w:p>
            <w:pPr>
              <w:jc w:val="right"/>
            </w:pPr>
            <w:r>
              <w:rPr>
                <w:sz w:val="20"/>
              </w:rPr>
              <w:t>December 31, 2023</w:t>
            </w:r>
          </w:p>
        </w:tc>
      </w:tr>
      <w:tr>
        <w:tc>
          <w:tcPr>
            <w:tcW w:type="dxa" w:w="8640"/>
          </w:tcPr>
          <w:p>
            <w:r>
              <w:rPr>
                <w:sz w:val="20"/>
              </w:rPr>
              <w:t>Presentation of results at stakeholder meetings</w:t>
            </w:r>
          </w:p>
        </w:tc>
        <w:tc>
          <w:tcPr>
            <w:tcW w:type="dxa" w:w="2160"/>
          </w:tcPr>
          <w:p>
            <w:pPr>
              <w:jc w:val="right"/>
            </w:pPr>
            <w:r>
              <w:rPr>
                <w:sz w:val="20"/>
              </w:rPr>
              <w:t>March 31, 2024</w:t>
            </w:r>
          </w:p>
        </w:tc>
      </w:tr>
      <w:tr>
        <w:tc>
          <w:tcPr>
            <w:tcW w:type="dxa" w:w="8640"/>
          </w:tcPr>
          <w:p>
            <w:r>
              <w:rPr>
                <w:sz w:val="20"/>
              </w:rPr>
              <w:t>Peer reviewed publication on the above findings</w:t>
            </w:r>
          </w:p>
        </w:tc>
        <w:tc>
          <w:tcPr>
            <w:tcW w:type="dxa" w:w="2160"/>
          </w:tcPr>
          <w:p>
            <w:pPr>
              <w:jc w:val="right"/>
            </w:pPr>
            <w:r>
              <w:rPr>
                <w:sz w:val="20"/>
              </w:rPr>
              <w:t>September 30, 2024</w:t>
            </w:r>
          </w:p>
        </w:tc>
      </w:tr>
    </w:tbl>
    <w:p/>
    <w:p>
      <w:pPr>
        <w:pStyle w:val="Heading3"/>
        <w:spacing w:after="60"/>
      </w:pPr>
      <w:r>
        <w:rPr>
          <w:b/>
          <w:color w:val="254885"/>
          <w:sz w:val="26"/>
        </w:rPr>
        <w:t>Activity 2: Field and modeling assessments  of restoration impacts on climate (greenhouse gases, energy balance)</w:t>
      </w:r>
    </w:p>
    <w:p>
      <w:r>
        <w:rPr>
          <w:b/>
        </w:rPr>
        <w:t xml:space="preserve">Activity Budget: </w:t>
      </w:r>
      <w:r>
        <w:t>$522,000</w:t>
      </w:r>
    </w:p>
    <w:p>
      <w:r>
        <w:rPr>
          <w:b/>
        </w:rPr>
        <w:t xml:space="preserve">Activity Description: </w:t>
        <w:br/>
      </w:r>
      <w:r>
        <w:t>Peatland restoration generally leads to positive climate impacts by sequestering carbon from the atmosphere, but there is insufficient evidence from our region, causing uncertainty in planning and prioritizing projects. To determine these benefits, we will measure carbon dioxide and methane fluxes, and energy exchange with the atmosphere, at three pairs of disturbed and restored (rewetted) sites at different times after restoration using state-of-the-art methods (high towers to measure gases above the ground surface- and small chambers for spot, on-the-ground measurements). This approach will allow us to determine the time-course of impacts. Peatland restoration will likely decrease carbon dioxide emissions, but it may increase methane emissions, in the short term, and methane is a potent greenhouse gas. In addition, land cover change can also alter other warming or cooling effects, such as the cooling effect of reflectivity of ecosystems, which can amplify or reduce the gas-based effects of restoration on climate. Tower-based methods (called eddy covariance) will provide the net transfer of gases between the peatlands and the atmosphere, whereas chamber-based methods will determine hotspots of gas flux. This information will inform best management practices for restoration, for example, by identifying plants that have the greatest impact on air quality.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flux monitoring site 1, 5 years post-restoration  and unrestored paired sites</w:t>
            </w:r>
          </w:p>
        </w:tc>
        <w:tc>
          <w:tcPr>
            <w:tcW w:type="dxa" w:w="2160"/>
          </w:tcPr>
          <w:p>
            <w:pPr>
              <w:jc w:val="right"/>
            </w:pPr>
            <w:r>
              <w:rPr>
                <w:sz w:val="20"/>
              </w:rPr>
              <w:t>September 30, 2024</w:t>
            </w:r>
          </w:p>
        </w:tc>
      </w:tr>
      <w:tr>
        <w:tc>
          <w:tcPr>
            <w:tcW w:type="dxa" w:w="8640"/>
          </w:tcPr>
          <w:p>
            <w:r>
              <w:rPr>
                <w:sz w:val="20"/>
              </w:rPr>
              <w:t>Development of model for coupled moisture and heat flow, and carbon transport in peat</w:t>
            </w:r>
          </w:p>
        </w:tc>
        <w:tc>
          <w:tcPr>
            <w:tcW w:type="dxa" w:w="2160"/>
          </w:tcPr>
          <w:p>
            <w:pPr>
              <w:jc w:val="right"/>
            </w:pPr>
            <w:r>
              <w:rPr>
                <w:sz w:val="20"/>
              </w:rPr>
              <w:t>September 30, 2024</w:t>
            </w:r>
          </w:p>
        </w:tc>
      </w:tr>
      <w:tr>
        <w:tc>
          <w:tcPr>
            <w:tcW w:type="dxa" w:w="8640"/>
          </w:tcPr>
          <w:p>
            <w:r>
              <w:rPr>
                <w:sz w:val="20"/>
              </w:rPr>
              <w:t>Complete flux monitoring site 2, 23 years post-restoration and unrestored paired sites</w:t>
            </w:r>
          </w:p>
        </w:tc>
        <w:tc>
          <w:tcPr>
            <w:tcW w:type="dxa" w:w="2160"/>
          </w:tcPr>
          <w:p>
            <w:pPr>
              <w:jc w:val="right"/>
            </w:pPr>
            <w:r>
              <w:rPr>
                <w:sz w:val="20"/>
              </w:rPr>
              <w:t>September 30, 2025</w:t>
            </w:r>
          </w:p>
        </w:tc>
      </w:tr>
      <w:tr>
        <w:tc>
          <w:tcPr>
            <w:tcW w:type="dxa" w:w="8640"/>
          </w:tcPr>
          <w:p>
            <w:r>
              <w:rPr>
                <w:sz w:val="20"/>
              </w:rPr>
              <w:t>Calibrate model and apply coupled model to evaluation of future conditions</w:t>
            </w:r>
          </w:p>
        </w:tc>
        <w:tc>
          <w:tcPr>
            <w:tcW w:type="dxa" w:w="2160"/>
          </w:tcPr>
          <w:p>
            <w:pPr>
              <w:jc w:val="right"/>
            </w:pPr>
            <w:r>
              <w:rPr>
                <w:sz w:val="20"/>
              </w:rPr>
              <w:t>December 31, 2025</w:t>
            </w:r>
          </w:p>
        </w:tc>
      </w:tr>
      <w:tr>
        <w:tc>
          <w:tcPr>
            <w:tcW w:type="dxa" w:w="8640"/>
          </w:tcPr>
          <w:p>
            <w:r>
              <w:rPr>
                <w:sz w:val="20"/>
              </w:rPr>
              <w:t>Complete flux monitoring site 3, 1 year post-restoration and unrestored paired sites</w:t>
            </w:r>
          </w:p>
        </w:tc>
        <w:tc>
          <w:tcPr>
            <w:tcW w:type="dxa" w:w="2160"/>
          </w:tcPr>
          <w:p>
            <w:pPr>
              <w:jc w:val="right"/>
            </w:pPr>
            <w:r>
              <w:rPr>
                <w:sz w:val="20"/>
              </w:rPr>
              <w:t>June 30, 2026</w:t>
            </w:r>
          </w:p>
        </w:tc>
      </w:tr>
    </w:tbl>
    <w:p/>
    <w:p>
      <w:pPr>
        <w:pStyle w:val="Heading3"/>
        <w:spacing w:after="60"/>
      </w:pPr>
      <w:r>
        <w:rPr>
          <w:b/>
          <w:color w:val="254885"/>
          <w:sz w:val="26"/>
        </w:rPr>
        <w:t>Activity 3: Field and modeling assessments of the impact of peatland restoration on mercury export</w:t>
      </w:r>
    </w:p>
    <w:p>
      <w:r>
        <w:rPr>
          <w:b/>
        </w:rPr>
        <w:t xml:space="preserve">Activity Budget: </w:t>
      </w:r>
      <w:r>
        <w:t>$190,000</w:t>
      </w:r>
    </w:p>
    <w:p>
      <w:r>
        <w:rPr>
          <w:b/>
        </w:rPr>
        <w:t xml:space="preserve">Activity Description: </w:t>
        <w:br/>
      </w:r>
      <w:r>
        <w:t>Methylmercury is a major threat to water quality. It is mobilized by drainage ditches from peatlands, bioaccumulates in fish and wildlife,  and causes a serious threat to human health and local economies. Restoration-mediated changes in water table and plant communities can alter the amount of methylmercury mobilized into streams, and the amount of mercury volatilized back to the atmosphere. We will work with the Minnesota Pollution Control Agency  to fill gaps in our understanding of the factors that regulate methylmercury mobilization in drainage ditches, and test restoration approaches that minimize that transport from peatlands.  To do this, we will monitor the fluxes of total mercury and methylmercury from pristine, ditched, and restored sites associated with Activity 2. This will include both emissions of mercury to  the atmosphere using gas sampling from towers, and sampling of mercury fluxes in streams from each of these three types of sites. Streams will be sampled at biweekly intervals during the ice-free season at these sites. Gases will be sampled via monthly campaigns at the different sites.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model of coupled water flow, heat transport and mercury transport in peat</w:t>
            </w:r>
          </w:p>
        </w:tc>
        <w:tc>
          <w:tcPr>
            <w:tcW w:type="dxa" w:w="2160"/>
          </w:tcPr>
          <w:p>
            <w:pPr>
              <w:jc w:val="right"/>
            </w:pPr>
            <w:r>
              <w:rPr>
                <w:sz w:val="20"/>
              </w:rPr>
              <w:t>September 30, 2024</w:t>
            </w:r>
          </w:p>
        </w:tc>
      </w:tr>
      <w:tr>
        <w:tc>
          <w:tcPr>
            <w:tcW w:type="dxa" w:w="8640"/>
          </w:tcPr>
          <w:p>
            <w:r>
              <w:rPr>
                <w:sz w:val="20"/>
              </w:rPr>
              <w:t>Monitoring of mercury export in air, site 1, 5 years post-restoration; restored and unrestored</w:t>
            </w:r>
          </w:p>
        </w:tc>
        <w:tc>
          <w:tcPr>
            <w:tcW w:type="dxa" w:w="2160"/>
          </w:tcPr>
          <w:p>
            <w:pPr>
              <w:jc w:val="right"/>
            </w:pPr>
            <w:r>
              <w:rPr>
                <w:sz w:val="20"/>
              </w:rPr>
              <w:t>September 30, 2024</w:t>
            </w:r>
          </w:p>
        </w:tc>
      </w:tr>
      <w:tr>
        <w:tc>
          <w:tcPr>
            <w:tcW w:type="dxa" w:w="8640"/>
          </w:tcPr>
          <w:p>
            <w:r>
              <w:rPr>
                <w:sz w:val="20"/>
              </w:rPr>
              <w:t>Monitoring of mercury export in air, site 2, 23 years post-restoration; resptored and unrestored</w:t>
            </w:r>
          </w:p>
        </w:tc>
        <w:tc>
          <w:tcPr>
            <w:tcW w:type="dxa" w:w="2160"/>
          </w:tcPr>
          <w:p>
            <w:pPr>
              <w:jc w:val="right"/>
            </w:pPr>
            <w:r>
              <w:rPr>
                <w:sz w:val="20"/>
              </w:rPr>
              <w:t>September 30, 2025</w:t>
            </w:r>
          </w:p>
        </w:tc>
      </w:tr>
      <w:tr>
        <w:tc>
          <w:tcPr>
            <w:tcW w:type="dxa" w:w="8640"/>
          </w:tcPr>
          <w:p>
            <w:r>
              <w:rPr>
                <w:sz w:val="20"/>
              </w:rPr>
              <w:t>Calibrate model and apply coupled model to evaluation of future conditions</w:t>
            </w:r>
          </w:p>
        </w:tc>
        <w:tc>
          <w:tcPr>
            <w:tcW w:type="dxa" w:w="2160"/>
          </w:tcPr>
          <w:p>
            <w:pPr>
              <w:jc w:val="right"/>
            </w:pPr>
            <w:r>
              <w:rPr>
                <w:sz w:val="20"/>
              </w:rPr>
              <w:t>December 31, 2025</w:t>
            </w:r>
          </w:p>
        </w:tc>
      </w:tr>
      <w:tr>
        <w:tc>
          <w:tcPr>
            <w:tcW w:type="dxa" w:w="8640"/>
          </w:tcPr>
          <w:p>
            <w:r>
              <w:rPr>
                <w:sz w:val="20"/>
              </w:rPr>
              <w:t>Monitoring of mercury export in streams for all sites, restored and unrestored</w:t>
            </w:r>
          </w:p>
        </w:tc>
        <w:tc>
          <w:tcPr>
            <w:tcW w:type="dxa" w:w="2160"/>
          </w:tcPr>
          <w:p>
            <w:pPr>
              <w:jc w:val="right"/>
            </w:pPr>
            <w:r>
              <w:rPr>
                <w:sz w:val="20"/>
              </w:rPr>
              <w:t>June 30, 2026</w:t>
            </w:r>
          </w:p>
        </w:tc>
      </w:tr>
      <w:tr>
        <w:tc>
          <w:tcPr>
            <w:tcW w:type="dxa" w:w="8640"/>
          </w:tcPr>
          <w:p>
            <w:r>
              <w:rPr>
                <w:sz w:val="20"/>
              </w:rPr>
              <w:t>Monitoring of mercury export in air site 3, 1 year post-restoration; restored and unrestored</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Randy Kolka</w:t>
            </w:r>
          </w:p>
        </w:tc>
        <w:tc>
          <w:tcPr>
            <w:tcW w:type="dxa" w:w="1440"/>
          </w:tcPr>
          <w:p>
            <w:r>
              <w:rPr>
                <w:sz w:val="20"/>
              </w:rPr>
              <w:t>US Forest Service</w:t>
            </w:r>
          </w:p>
        </w:tc>
        <w:tc>
          <w:tcPr>
            <w:tcW w:type="dxa" w:w="6840"/>
          </w:tcPr>
          <w:p>
            <w:r>
              <w:rPr>
                <w:sz w:val="20"/>
              </w:rPr>
              <w:t>Collaborator, oversee mercury water sampling effort. Dr. Kolka has decades of experience in studying peatland impacts on mercury cycling. As head of the Marcell Experimental Forest in Grand Rapids Minnesota, he is also an expert on Minnesota peatlands</w:t>
            </w:r>
          </w:p>
        </w:tc>
        <w:tc>
          <w:tcPr>
            <w:tcW w:type="dxa" w:w="1080"/>
          </w:tcPr>
          <w:p>
            <w:r>
              <w:rPr>
                <w:sz w:val="20"/>
              </w:rPr>
              <w:t>No</w:t>
            </w:r>
          </w:p>
        </w:tc>
      </w:tr>
      <w:tr>
        <w:tc>
          <w:tcPr>
            <w:tcW w:type="dxa" w:w="1440"/>
          </w:tcPr>
          <w:p>
            <w:r>
              <w:rPr>
                <w:sz w:val="20"/>
              </w:rPr>
              <w:t>Kristen Blann</w:t>
            </w:r>
          </w:p>
        </w:tc>
        <w:tc>
          <w:tcPr>
            <w:tcW w:type="dxa" w:w="1440"/>
          </w:tcPr>
          <w:p>
            <w:r>
              <w:rPr>
                <w:sz w:val="20"/>
              </w:rPr>
              <w:t>The Nature Conservancy</w:t>
            </w:r>
          </w:p>
        </w:tc>
        <w:tc>
          <w:tcPr>
            <w:tcW w:type="dxa" w:w="6840"/>
          </w:tcPr>
          <w:p>
            <w:r>
              <w:rPr>
                <w:sz w:val="20"/>
              </w:rPr>
              <w:t>Aquatic Ecologist for TNC. Dr. Blann will help translate the science into restoration plans, facilitate coordination with TNC and share results with the public.</w:t>
            </w:r>
          </w:p>
        </w:tc>
        <w:tc>
          <w:tcPr>
            <w:tcW w:type="dxa" w:w="1080"/>
          </w:tcPr>
          <w:p>
            <w:r>
              <w:rPr>
                <w:sz w:val="20"/>
              </w:rPr>
              <w:t>No</w:t>
            </w:r>
          </w:p>
        </w:tc>
      </w:tr>
      <w:tr>
        <w:tc>
          <w:tcPr>
            <w:tcW w:type="dxa" w:w="1440"/>
          </w:tcPr>
          <w:p>
            <w:r>
              <w:rPr>
                <w:sz w:val="20"/>
              </w:rPr>
              <w:t>Erik Lillekov</w:t>
            </w:r>
          </w:p>
        </w:tc>
        <w:tc>
          <w:tcPr>
            <w:tcW w:type="dxa" w:w="1440"/>
          </w:tcPr>
          <w:p>
            <w:r>
              <w:rPr>
                <w:sz w:val="20"/>
              </w:rPr>
              <w:t>US Forest Service</w:t>
            </w:r>
          </w:p>
        </w:tc>
        <w:tc>
          <w:tcPr>
            <w:tcW w:type="dxa" w:w="6840"/>
          </w:tcPr>
          <w:p>
            <w:r>
              <w:rPr>
                <w:sz w:val="20"/>
              </w:rPr>
              <w:t>Collaborator, oversee chamber-based flux work and related sampling. Dr. Lilleskov is a research ecologist with the USDA Forest Service who has extensive experience studying carbon cycling and microbial processes in peatlands of the upper Midwest and around the world.</w:t>
            </w:r>
          </w:p>
        </w:tc>
        <w:tc>
          <w:tcPr>
            <w:tcW w:type="dxa" w:w="1080"/>
          </w:tcPr>
          <w:p>
            <w:r>
              <w:rPr>
                <w:sz w:val="20"/>
              </w:rPr>
              <w:t>No</w:t>
            </w:r>
          </w:p>
        </w:tc>
      </w:tr>
      <w:tr>
        <w:tc>
          <w:tcPr>
            <w:tcW w:type="dxa" w:w="1440"/>
          </w:tcPr>
          <w:p>
            <w:r>
              <w:rPr>
                <w:sz w:val="20"/>
              </w:rPr>
              <w:t>Suzanne Rhees</w:t>
            </w:r>
          </w:p>
        </w:tc>
        <w:tc>
          <w:tcPr>
            <w:tcW w:type="dxa" w:w="1440"/>
          </w:tcPr>
          <w:p>
            <w:r>
              <w:rPr>
                <w:sz w:val="20"/>
              </w:rPr>
              <w:t>BWSR</w:t>
            </w:r>
          </w:p>
        </w:tc>
        <w:tc>
          <w:tcPr>
            <w:tcW w:type="dxa" w:w="6840"/>
          </w:tcPr>
          <w:p>
            <w:r>
              <w:rPr>
                <w:sz w:val="20"/>
              </w:rPr>
              <w:t>Partner, coordination on BWSR wetland bank restoration goals, stakeholder engagement. Ms. Rhees is Conservation Projects Coordinator at the Minnesota Board of Water and Soil Resources.</w:t>
            </w:r>
          </w:p>
        </w:tc>
        <w:tc>
          <w:tcPr>
            <w:tcW w:type="dxa" w:w="1080"/>
          </w:tcPr>
          <w:p>
            <w:r>
              <w:rPr>
                <w:sz w:val="20"/>
              </w:rPr>
              <w:t>No</w:t>
            </w:r>
          </w:p>
        </w:tc>
      </w:tr>
      <w:tr>
        <w:tc>
          <w:tcPr>
            <w:tcW w:type="dxa" w:w="1440"/>
          </w:tcPr>
          <w:p>
            <w:r>
              <w:rPr>
                <w:sz w:val="20"/>
              </w:rPr>
              <w:t>Dan Shaw</w:t>
            </w:r>
          </w:p>
        </w:tc>
        <w:tc>
          <w:tcPr>
            <w:tcW w:type="dxa" w:w="1440"/>
          </w:tcPr>
          <w:p>
            <w:r>
              <w:rPr>
                <w:sz w:val="20"/>
              </w:rPr>
              <w:t>BSWR</w:t>
            </w:r>
          </w:p>
        </w:tc>
        <w:tc>
          <w:tcPr>
            <w:tcW w:type="dxa" w:w="6840"/>
          </w:tcPr>
          <w:p>
            <w:r>
              <w:rPr>
                <w:sz w:val="20"/>
              </w:rPr>
              <w:t>Partner, coordination on BWSR wetland restoration methods and assessment, Dan is a wetland restoration specialist at the Minnesota Board of Water and Soil Resources.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of the proposed project will be provided to stakeholders in publications and workshops, as described above. We are currently working closely with TNC on the assessment of restored peatlands. TNC will carry out the long-term implementation of peatland restoration as part of their peatland restoration strategy for the state, working with the state agencies. Together these resources should provide a solid basis for decision-making as to the benefits of peatland restoration needed to guide management and policy. Funding for follow-on research will be sought from federal funding sources such as the NSF and DOE.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Techniques for Water Storage Estimates in Central Minnesota</w:t>
            </w:r>
          </w:p>
        </w:tc>
        <w:tc>
          <w:tcPr>
            <w:tcW w:type="dxa" w:w="4680"/>
          </w:tcPr>
          <w:p>
            <w:r>
              <w:rPr>
                <w:sz w:val="20"/>
              </w:rPr>
              <w:t>M.L. 2017, Chp. 96, Sec. 2, Subd. 04h</w:t>
            </w:r>
          </w:p>
        </w:tc>
        <w:tc>
          <w:tcPr>
            <w:tcW w:type="dxa" w:w="1440"/>
          </w:tcPr>
          <w:p>
            <w:pPr>
              <w:jc w:val="right"/>
            </w:pPr>
            <w:r>
              <w:rPr>
                <w:sz w:val="20"/>
              </w:rPr>
              <w:t>$250,000</w:t>
            </w:r>
          </w:p>
        </w:tc>
      </w:tr>
      <w:tr>
        <w:tc>
          <w:tcPr>
            <w:tcW w:type="dxa" w:w="4680"/>
          </w:tcPr>
          <w:p>
            <w:r>
              <w:rPr>
                <w:sz w:val="20"/>
              </w:rPr>
              <w:t>Setting Realistic Nitrate Reduction Goals in Southeast Minnesota</w:t>
            </w:r>
          </w:p>
        </w:tc>
        <w:tc>
          <w:tcPr>
            <w:tcW w:type="dxa" w:w="4680"/>
          </w:tcPr>
          <w:p>
            <w:r>
              <w:rPr>
                <w:sz w:val="20"/>
              </w:rPr>
              <w:t>M.L. 2019, First Special Session, Chp. 4, Art. 2, Sec. 2, Subd. 04m</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John Nieber</w:t>
      </w:r>
    </w:p>
    <w:p>
      <w:r>
        <w:rPr>
          <w:b/>
        </w:rPr>
        <w:t xml:space="preserve">Job Title: </w:t>
      </w:r>
      <w:r>
        <w:t>Professor</w:t>
      </w:r>
    </w:p>
    <w:p>
      <w:r>
        <w:rPr>
          <w:b/>
        </w:rPr>
        <w:t xml:space="preserve">Provide description of the project manager’s qualifications to manage the proposed project. </w:t>
        <w:br/>
      </w:r>
      <w:r>
        <w:t>John Nieber has over 40 years of experience working as a professional hydrologist in conducting teaching and research activities related to hydrology and water quality. He has management dozens of projects funded by state and federal sources to investigate various aspects of the hydrologic cycle including groundwater flow and transport, wetland hydrology and water quality processes, flooding, droughts, agricultural water use, and urban stormwater quantity and quality. He was the lead project manager for a five-year contract (under the Master contract list) with the MPCA for the Impaired Waters Program. He has managed three LCCMR projects and has been involved as a collaborator in several others. The three LCCMR projects which he managed were related to water resources sustainability, mapping of water storage across central Minnesota, and assessment of the effectiveness of nitrogen management BMPs for protecting surface waters and groundwater. He is the author of over 100 refereed research articles in the scientific literature. He has worked closely with Dr. Lenhart and Dr. Griffis, successfully carrying out research and teaching classes.</w:t>
      </w:r>
    </w:p>
    <w:p>
      <w:r>
        <w:rPr>
          <w:b/>
        </w:rPr>
        <w:t xml:space="preserve">Organization: </w:t>
      </w:r>
      <w:r>
        <w:t>U of MN - College of Food, Agricultural and Natural Resource Sciences</w:t>
      </w:r>
    </w:p>
    <w:p>
      <w:r>
        <w:rPr>
          <w:b/>
        </w:rPr>
        <w:t xml:space="preserve">Organization Description: </w:t>
        <w:br/>
      </w:r>
      <w:r>
        <w:t>CFANS is composed of twelve academic departments and ten research and outreach centers. It also administers the Minnesota Landscape Arboretum, the Bell Museum, and a number of interdisplinary centers. As part of a major urban university located in the heart of the Twin Cities, we also provide immersive study opportunities across the state. Our living laboratories allow students, faculty, and staff to study throughout Minnesota’s diverse ecosystems.</w:t>
        <w:br/>
        <w:br/>
        <w:t>Undergraduate students can choose from 14 majors and more than 25 minors. We also have 13 graduate programs. Our students complete their degrees and leave here well prepared for the workforce because of our emphasis on hands-on learning, internships, and global perspectives.</w:t>
        <w:br/>
        <w:br/>
        <w:t>Almost 93 percent of students who earn CFANS undergraduate degrees find jobs in their career field or enter graduate school within six months of graduation.</w:t>
        <w:br/>
        <w:br/>
        <w:t>With a legacy of innovation — both the Honeycrisp apple and the process of artificially inseminating dairy cows were born here — our research has made a difference, both large and small, in many lives.</w:t>
        <w:br/>
        <w:br/>
        <w:t>The vision of the college is to advance Minnesota as a global leader in food, agriculture, and natural resources through extraordinary education, science-based solutions, and dynamic public engagement that nourishes people and enhances the environment in which we live.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John Nieber, PI</w:t>
            </w:r>
          </w:p>
        </w:tc>
        <w:tc>
          <w:tcPr>
            <w:tcW w:type="dxa" w:w="1440"/>
          </w:tcPr>
          <w:p>
            <w:r>
              <w:rPr>
                <w:sz w:val="20"/>
              </w:rPr>
            </w:r>
          </w:p>
        </w:tc>
        <w:tc>
          <w:tcPr>
            <w:tcW w:type="dxa" w:w="5472"/>
          </w:tcPr>
          <w:p>
            <w:r>
              <w:rPr>
                <w:sz w:val="20"/>
              </w:rPr>
              <w:t>Project management and modeling activities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$23,337</w:t>
            </w:r>
          </w:p>
        </w:tc>
      </w:tr>
      <w:tr>
        <w:tc>
          <w:tcPr>
            <w:tcW w:type="dxa" w:w="864"/>
          </w:tcPr>
          <w:p>
            <w:r>
              <w:rPr>
                <w:sz w:val="20"/>
              </w:rPr>
              <w:t>Chris Lenhart</w:t>
            </w:r>
          </w:p>
        </w:tc>
        <w:tc>
          <w:tcPr>
            <w:tcW w:type="dxa" w:w="1440"/>
          </w:tcPr>
          <w:p>
            <w:r>
              <w:rPr>
                <w:sz w:val="20"/>
              </w:rPr>
            </w:r>
          </w:p>
        </w:tc>
        <w:tc>
          <w:tcPr>
            <w:tcW w:type="dxa" w:w="5472"/>
          </w:tcPr>
          <w:p>
            <w:r>
              <w:rPr>
                <w:sz w:val="20"/>
              </w:rPr>
              <w:t>data acquisition, data interpretation and modeling</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$18,753</w:t>
            </w:r>
          </w:p>
        </w:tc>
      </w:tr>
      <w:tr>
        <w:tc>
          <w:tcPr>
            <w:tcW w:type="dxa" w:w="864"/>
          </w:tcPr>
          <w:p>
            <w:r>
              <w:rPr>
                <w:sz w:val="20"/>
              </w:rPr>
              <w:t>Timothy Griffis</w:t>
            </w:r>
          </w:p>
        </w:tc>
        <w:tc>
          <w:tcPr>
            <w:tcW w:type="dxa" w:w="1440"/>
          </w:tcPr>
          <w:p>
            <w:r>
              <w:rPr>
                <w:sz w:val="20"/>
              </w:rPr>
            </w:r>
          </w:p>
        </w:tc>
        <w:tc>
          <w:tcPr>
            <w:tcW w:type="dxa" w:w="5472"/>
          </w:tcPr>
          <w:p>
            <w:r>
              <w:rPr>
                <w:sz w:val="20"/>
              </w:rPr>
              <w:t>Management of micromet towers and data analysis/interpretation, and modeling</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$37,923</w:t>
            </w:r>
          </w:p>
        </w:tc>
      </w:tr>
      <w:tr>
        <w:tc>
          <w:tcPr>
            <w:tcW w:type="dxa" w:w="864"/>
          </w:tcPr>
          <w:p>
            <w:r>
              <w:rPr>
                <w:sz w:val="20"/>
              </w:rPr>
              <w:t>Post-doctorate researcher</w:t>
            </w:r>
          </w:p>
        </w:tc>
        <w:tc>
          <w:tcPr>
            <w:tcW w:type="dxa" w:w="1440"/>
          </w:tcPr>
          <w:p>
            <w:r>
              <w:rPr>
                <w:sz w:val="20"/>
              </w:rPr>
            </w:r>
          </w:p>
        </w:tc>
        <w:tc>
          <w:tcPr>
            <w:tcW w:type="dxa" w:w="5472"/>
          </w:tcPr>
          <w:p>
            <w:r>
              <w:rPr>
                <w:sz w:val="20"/>
              </w:rPr>
              <w:t>Manage and monitor micromet towers, data collection, data analysis, report writing</w:t>
            </w:r>
          </w:p>
        </w:tc>
        <w:tc>
          <w:tcPr>
            <w:tcW w:type="dxa" w:w="4032"/>
          </w:tcPr>
          <w:p>
            <w:r>
              <w:rPr>
                <w:sz w:val="20"/>
              </w:rPr>
            </w:r>
          </w:p>
        </w:tc>
        <w:tc>
          <w:tcPr>
            <w:tcW w:type="dxa" w:w="360"/>
          </w:tcPr>
          <w:p>
            <w:r>
              <w:rPr>
                <w:sz w:val="20"/>
              </w:rPr>
            </w:r>
          </w:p>
        </w:tc>
        <w:tc>
          <w:tcPr>
            <w:tcW w:type="dxa" w:w="360"/>
          </w:tcPr>
          <w:p>
            <w:pPr>
              <w:jc w:val="right"/>
            </w:pPr>
            <w:r>
              <w:rPr>
                <w:sz w:val="20"/>
              </w:rPr>
              <w:t>20.9%</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$195,494</w:t>
            </w:r>
          </w:p>
        </w:tc>
      </w:tr>
      <w:tr>
        <w:tc>
          <w:tcPr>
            <w:tcW w:type="dxa" w:w="864"/>
          </w:tcPr>
          <w:p>
            <w:r>
              <w:rPr>
                <w:sz w:val="20"/>
              </w:rPr>
              <w:t>graduate research assistant</w:t>
            </w:r>
          </w:p>
        </w:tc>
        <w:tc>
          <w:tcPr>
            <w:tcW w:type="dxa" w:w="1440"/>
          </w:tcPr>
          <w:p>
            <w:r>
              <w:rPr>
                <w:sz w:val="20"/>
              </w:rPr>
            </w:r>
          </w:p>
        </w:tc>
        <w:tc>
          <w:tcPr>
            <w:tcW w:type="dxa" w:w="5472"/>
          </w:tcPr>
          <w:p>
            <w:r>
              <w:rPr>
                <w:sz w:val="20"/>
              </w:rPr>
              <w:t>Monitor micromet towers and small column experiments, data collection, data analysis, modeling</w:t>
            </w:r>
          </w:p>
        </w:tc>
        <w:tc>
          <w:tcPr>
            <w:tcW w:type="dxa" w:w="4032"/>
          </w:tcPr>
          <w:p>
            <w:r>
              <w:rPr>
                <w:sz w:val="20"/>
              </w:rPr>
            </w:r>
          </w:p>
        </w:tc>
        <w:tc>
          <w:tcPr>
            <w:tcW w:type="dxa" w:w="360"/>
          </w:tcPr>
          <w:p>
            <w:r>
              <w:rPr>
                <w:sz w:val="20"/>
              </w:rPr>
            </w:r>
          </w:p>
        </w:tc>
        <w:tc>
          <w:tcPr>
            <w:tcW w:type="dxa" w:w="360"/>
          </w:tcPr>
          <w:p>
            <w:pPr>
              <w:jc w:val="right"/>
            </w:pPr>
            <w:r>
              <w:rPr>
                <w:sz w:val="20"/>
              </w:rPr>
              <w:t>53.1%</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$107,109</w:t>
            </w:r>
          </w:p>
        </w:tc>
      </w:tr>
      <w:tr>
        <w:tc>
          <w:tcPr>
            <w:tcW w:type="dxa" w:w="864"/>
          </w:tcPr>
          <w:p>
            <w:r>
              <w:rPr>
                <w:sz w:val="20"/>
              </w:rPr>
              <w:t>assistant scientist</w:t>
            </w:r>
          </w:p>
        </w:tc>
        <w:tc>
          <w:tcPr>
            <w:tcW w:type="dxa" w:w="1440"/>
          </w:tcPr>
          <w:p>
            <w:r>
              <w:rPr>
                <w:sz w:val="20"/>
              </w:rPr>
            </w:r>
          </w:p>
        </w:tc>
        <w:tc>
          <w:tcPr>
            <w:tcW w:type="dxa" w:w="5472"/>
          </w:tcPr>
          <w:p>
            <w:r>
              <w:rPr>
                <w:sz w:val="20"/>
              </w:rPr>
              <w:t>Assist with setting up and maintaining micromet towers</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$36,559</w:t>
            </w:r>
          </w:p>
        </w:tc>
      </w:tr>
      <w:tr>
        <w:tc>
          <w:tcPr>
            <w:tcW w:type="dxa" w:w="864"/>
          </w:tcPr>
          <w:p>
            <w:r>
              <w:rPr>
                <w:sz w:val="20"/>
              </w:rPr>
              <w:t>undergraduate research assistant</w:t>
            </w:r>
          </w:p>
        </w:tc>
        <w:tc>
          <w:tcPr>
            <w:tcW w:type="dxa" w:w="1440"/>
          </w:tcPr>
          <w:p>
            <w:r>
              <w:rPr>
                <w:sz w:val="20"/>
              </w:rPr>
            </w:r>
          </w:p>
        </w:tc>
        <w:tc>
          <w:tcPr>
            <w:tcW w:type="dxa" w:w="5472"/>
          </w:tcPr>
          <w:p>
            <w:r>
              <w:rPr>
                <w:sz w:val="20"/>
              </w:rPr>
              <w:t>assist with field data collection and system maintenance, results illustration.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0.84</w:t>
            </w:r>
          </w:p>
        </w:tc>
        <w:tc>
          <w:tcPr>
            <w:tcW w:type="dxa" w:w="360"/>
          </w:tcPr>
          <w:p>
            <w:r>
              <w:rPr>
                <w:sz w:val="20"/>
              </w:rPr>
            </w:r>
          </w:p>
        </w:tc>
        <w:tc>
          <w:tcPr>
            <w:tcW w:type="dxa" w:w="1152"/>
          </w:tcPr>
          <w:p>
            <w:pPr>
              <w:jc w:val="right"/>
            </w:pPr>
            <w:r>
              <w:rPr>
                <w:sz w:val="20"/>
              </w:rPr>
              <w:t>$24,973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$444,148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Micrometerological towers</w:t>
            </w:r>
          </w:p>
        </w:tc>
        <w:tc>
          <w:tcPr>
            <w:tcW w:type="dxa" w:w="4032"/>
          </w:tcPr>
          <w:p>
            <w:r>
              <w:rPr>
                <w:sz w:val="20"/>
              </w:rPr>
              <w:t>To measure the exchange of carbon dioxide and methane with the surface of the peatland test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$230,000</w:t>
            </w:r>
          </w:p>
        </w:tc>
      </w:tr>
      <w:tr>
        <w:tc>
          <w:tcPr>
            <w:tcW w:type="dxa" w:w="864"/>
          </w:tcPr>
          <w:p>
            <w:r>
              <w:rPr>
                <w:sz w:val="20"/>
              </w:rPr>
            </w:r>
          </w:p>
        </w:tc>
        <w:tc>
          <w:tcPr>
            <w:tcW w:type="dxa" w:w="1440"/>
          </w:tcPr>
          <w:p>
            <w:r>
              <w:rPr>
                <w:sz w:val="20"/>
              </w:rPr>
              <w:t>Tools and Supplies</w:t>
            </w:r>
          </w:p>
        </w:tc>
        <w:tc>
          <w:tcPr>
            <w:tcW w:type="dxa" w:w="5472"/>
          </w:tcPr>
          <w:p>
            <w:r>
              <w:rPr>
                <w:sz w:val="20"/>
              </w:rPr>
              <w:t>general supplies</w:t>
            </w:r>
          </w:p>
        </w:tc>
        <w:tc>
          <w:tcPr>
            <w:tcW w:type="dxa" w:w="4032"/>
          </w:tcPr>
          <w:p>
            <w:r>
              <w:rPr>
                <w:sz w:val="20"/>
              </w:rPr>
              <w:t>required supplies for setup of experimental measurements at peatland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$7,726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$237,726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27 trips, 47628 miles ($0.585/mile), 1 person: 135 nights hotel ($85/night), 162 days meals ($45/day)</w:t>
            </w:r>
          </w:p>
        </w:tc>
        <w:tc>
          <w:tcPr>
            <w:tcW w:type="dxa" w:w="4032"/>
          </w:tcPr>
          <w:p>
            <w:r>
              <w:rPr>
                <w:sz w:val="20"/>
              </w:rPr>
              <w:t>travel to field sites to set up equipment, maintain experimental sites, and acquire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$46,626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$46,626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of guidance documents and scientific articles</w:t>
            </w:r>
          </w:p>
        </w:tc>
        <w:tc>
          <w:tcPr>
            <w:tcW w:type="dxa" w:w="4032"/>
          </w:tcPr>
          <w:p>
            <w:r>
              <w:rPr>
                <w:sz w:val="20"/>
              </w:rPr>
              <w:t>to distribute information about project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chemical analysis</w:t>
            </w:r>
          </w:p>
        </w:tc>
        <w:tc>
          <w:tcPr>
            <w:tcW w:type="dxa" w:w="4032"/>
          </w:tcPr>
          <w:p>
            <w:r>
              <w:rPr>
                <w:sz w:val="20"/>
              </w:rPr>
              <w:t>to test for mercury concentrations in 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$31,500</w:t>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To transport water samples to chemical analysis lab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$766,000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Indirect costs on project</w:t>
            </w:r>
          </w:p>
        </w:tc>
        <w:tc>
          <w:tcPr>
            <w:tcW w:type="dxa" w:w="1080"/>
          </w:tcPr>
          <w:p>
            <w:r>
              <w:rPr>
                <w:sz w:val="20"/>
              </w:rPr>
              <w:t>Secured</w:t>
            </w:r>
          </w:p>
        </w:tc>
        <w:tc>
          <w:tcPr>
            <w:tcW w:type="dxa" w:w="1440"/>
          </w:tcPr>
          <w:p>
            <w:pPr>
              <w:jc w:val="right"/>
            </w:pPr>
            <w:r>
              <w:rPr>
                <w:sz w:val="20"/>
              </w:rPr>
              <w:t>$289,440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$289,440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Nature Conservancy</w:t>
            </w:r>
          </w:p>
        </w:tc>
        <w:tc>
          <w:tcPr>
            <w:tcW w:type="dxa" w:w="6120"/>
          </w:tcPr>
          <w:p>
            <w:r>
              <w:rPr>
                <w:sz w:val="20"/>
              </w:rPr>
              <w:t>Ongoing restoration work at the Sax-zim bog</w:t>
            </w:r>
          </w:p>
        </w:tc>
        <w:tc>
          <w:tcPr>
            <w:tcW w:type="dxa" w:w="1080"/>
          </w:tcPr>
          <w:p>
            <w:r>
              <w:rPr>
                <w:sz w:val="20"/>
              </w:rPr>
              <w:t>Secured</w:t>
            </w:r>
          </w:p>
        </w:tc>
        <w:tc>
          <w:tcPr>
            <w:tcW w:type="dxa" w:w="1440"/>
          </w:tcPr>
          <w:p>
            <w:pPr>
              <w:jc w:val="right"/>
            </w:pPr>
            <w:r>
              <w:rPr>
                <w:sz w:val="20"/>
              </w:rPr>
              <w:t>$175,000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$175,000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$464,440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a97cc859-c93.pdf</w:t>
          </w:r>
        </w:hyperlink>
      </w:r>
    </w:p>
    <w:p>
      <w:pPr>
        <w:pStyle w:val="Heading4"/>
        <w:spacing w:before="40" w:after="20"/>
      </w:pPr>
      <w:r>
        <w:rPr>
          <w:b/>
          <w:i/>
          <w:color w:val="000000"/>
          <w:sz w:val="24"/>
        </w:rPr>
        <w:t>Alternate Text for Visual Component</w:t>
      </w:r>
    </w:p>
    <w:p>
      <w:r>
        <w:t>Top diagram conceptualizes greenhouse gases entering the air, and mercury entering streamwater, from ditched peatlands, impacting climate, water quality, and human health. Maps show ditching in Minnesota’s peatlands, and locations of the three restoration study sites in northern Minnesota. A photo of an eddy flux tower is shown....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LoS LCCMR peat proposal letter from KBlann</w:t>
            </w:r>
          </w:p>
        </w:tc>
        <w:tc>
          <w:tcPr>
            <w:tcW w:type="dxa" w:w="5400"/>
          </w:tcPr>
          <w:p>
            <w:r>
              <w:rPr>
                <w:sz w:val="20"/>
              </w:rPr>
            </w:r>
            <w:r>
              <w:rPr>
                <w:color w:val="000000" w:themeColor="hyperlink"/>
                <w:sz w:val="20"/>
                <w:u w:val="single"/>
              </w:rPr>
              <w:hyperlink r:id="rId13">
                <w:r>
                  <w:rPr/>
                  <w:t>d165e915-a4b.pdf</w:t>
                </w:r>
              </w:hyperlink>
            </w:r>
          </w:p>
        </w:tc>
      </w:tr>
      <w:tr>
        <w:tc>
          <w:tcPr>
            <w:tcW w:type="dxa" w:w="5400"/>
          </w:tcPr>
          <w:p>
            <w:r>
              <w:rPr>
                <w:sz w:val="20"/>
              </w:rPr>
              <w:t>Nieber LCCMR letter from US Forest Service</w:t>
            </w:r>
          </w:p>
        </w:tc>
        <w:tc>
          <w:tcPr>
            <w:tcW w:type="dxa" w:w="5400"/>
          </w:tcPr>
          <w:p>
            <w:r>
              <w:rPr>
                <w:sz w:val="20"/>
              </w:rPr>
            </w:r>
            <w:r>
              <w:rPr>
                <w:color w:val="000000" w:themeColor="hyperlink"/>
                <w:sz w:val="20"/>
                <w:u w:val="single"/>
              </w:rPr>
              <w:hyperlink r:id="rId14">
                <w:r>
                  <w:rPr/>
                  <w:t>f2114187-002.pdf</w:t>
                </w:r>
              </w:hyperlink>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5">
                <w:r>
                  <w:rPr/>
                  <w:t>3c01a9f8-c09.pdf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97cc859-c93.pdf" TargetMode="External"/><Relationship Id="rId13" Type="http://schemas.openxmlformats.org/officeDocument/2006/relationships/hyperlink" Target="https://lccmrprojectmgmt.leg.mn/media/attachments/d165e915-a4b.pdf" TargetMode="External"/><Relationship Id="rId14" Type="http://schemas.openxmlformats.org/officeDocument/2006/relationships/hyperlink" Target="https://lccmrprojectmgmt.leg.mn/media/attachments/f2114187-002.pdf" TargetMode="External"/><Relationship Id="rId15" Type="http://schemas.openxmlformats.org/officeDocument/2006/relationships/hyperlink" Target="https://lccmrprojectmgmt.leg.mn/media/attachments/3c01a9f8-c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Quantifying Environmental Benefits of Peatland Restoration in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