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2023-116</w:t>
      </w:r>
    </w:p>
    <w:p>
      <w:r>
        <w:rPr>
          <w:b/>
        </w:rPr>
        <w:t xml:space="preserve">Proposal Title: </w:t>
      </w:r>
      <w:r>
        <w:t>Complete Municipal Solid Waste Valorization Towards Carbon Neutrality</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The proposed technology converts municipal solid waste into aromatics, green hydrogen, and biochar via a catalytic microwave-assisted pyrolysis process coupled with a porous calcium oxide based chemical looping process.</w:t>
      </w:r>
    </w:p>
    <w:p>
      <w:r>
        <w:rPr>
          <w:b/>
        </w:rPr>
        <w:t xml:space="preserve">Funds Requested: </w:t>
      </w:r>
      <w:r>
        <w:t>$499,000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Plastic and organic waste streams generated by human activities produce greenhouse gas emissions during every stage of its lifecycle, posing a significant threat to our climate, ecosystem, health, and food safety. In 2018, the US generated 292.4 million tons of municipal solid waste (MSW), of which 50% was sent to landfills. The majority of the constituents of these 147 Mt are organic –  plastics (27 Mt), wood (12 Mt), paper (17 Mt), and food waste (35 Mt). According to the Minnesota Pollution Control Agency, The State of Minnesota produces nearly 3.5 Mt of solid waste that need to be disposed of in Minnesota in 2020, of which only 18% was recycled and the rest went to landfills. Therefore, recycling waste materials that are being thrown away in large quantities, brings several economic and environmental benefits. </w:t>
        <w:br/>
        <w:t>Currently, the most common method to recycle MSW is direct incineration that would definitely emit lots of greenhouse gas and other pollutants and is a loss of the resources. In contrast, researchers are looking for various ways to efficiently upcycle these valuable plastics and organic wastes. Pyrolysis is one such promising and economically viable treatment through maximum utilization approach to produce desirable products.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is designed to develop a CO2-negative municipal solid waste valorization technology for production of marketable products, including aromatics, green hydrogen, and biochar, from MSW and hence reduce wastes and protect the environment. The project addresses Priority E: Air Quality, Climate Change, and Renewable Energy.</w:t>
        <w:br/>
        <w:t>The overall goal of our research program is to develop a municipal solid waste valorization technology that will integrate a catalytic microwave-assisted pyrolysis and a chemical looping process. The proposed technology converts MSW into aromatics and biochar via a catalytic microwave-assisted pyrolysis process first, and uses a porous calcium oxide based material to absorb CO2 and produce high purity hydrogen in a chemical looping process. The specific objectives of the project include:</w:t>
        <w:br/>
        <w:t>Process development: verification of the proposed technology; study of effects of microwave-assisted pyrolysis/catalysis temperature, catalysts on aromatic selectivity; evaluation of CO2 removal and hydrogen enhancement; optimization of the process.</w:t>
        <w:br/>
        <w:t>Impact assessment: preliminary input-output analysis to provide assessment of economic potential and environmental and ecological benefits.</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outcomes will include the demonstration of catalytic microwave-assisted pyrolysis of MSW coupled with a chemical looping process for aromatics, biochar, and green hydrogen, the potential of catalytic microwave-assisted pyrolysis technology to become technically and financially viable for MSW treatment and valorization, reducing MSW in Minnesota and mitigating CO2 emission.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Catalytic microwave-assisted pyrolysis of MSW</w:t>
      </w:r>
    </w:p>
    <w:p>
      <w:r>
        <w:rPr>
          <w:b/>
        </w:rPr>
        <w:t xml:space="preserve">Activity Budget: </w:t>
      </w:r>
      <w:r>
        <w:t>$250,000</w:t>
      </w:r>
    </w:p>
    <w:p>
      <w:r>
        <w:rPr>
          <w:b/>
        </w:rPr>
        <w:t xml:space="preserve">Activity Description: </w:t>
        <w:br/>
      </w:r>
      <w:r>
        <w:t>We will first test different catalysts using a standard process with our bench scale catalytic microwave-assisted pyrolysis system. The results from the initial tests will guide our catalyst development for aromatic production. In order to selectively produce aromatics in the liquid product and maximize the catalyst lifetime, hierarchically micro-meso-macropore zeolites will be also developed. By designing hierarchically porous micro/nano-sized zeolite crystals with better interconnection between different porosity, an unimpeded transport path and enhancing accessibility to active sites within micropores will be provided. Multi-level porosity ensures the high catalytic selectivity and stability. The key processing parameters and conditions to be investigated and adjusted are pyrolysis/catalysis temperature, residence time, and catalysts.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Collection and characterization of MSW</w:t>
            </w:r>
          </w:p>
        </w:tc>
        <w:tc>
          <w:tcPr>
            <w:tcW w:type="dxa" w:w="2160"/>
          </w:tcPr>
          <w:p>
            <w:pPr>
              <w:jc w:val="right"/>
            </w:pPr>
            <w:r>
              <w:rPr>
                <w:sz w:val="20"/>
              </w:rPr>
              <w:t>September 30, 2024</w:t>
            </w:r>
          </w:p>
        </w:tc>
      </w:tr>
      <w:tr>
        <w:tc>
          <w:tcPr>
            <w:tcW w:type="dxa" w:w="8640"/>
          </w:tcPr>
          <w:p>
            <w:r>
              <w:rPr>
                <w:sz w:val="20"/>
              </w:rPr>
              <w:t>Initial test of catalytic microwave assisted pyrolysis of MSW</w:t>
            </w:r>
          </w:p>
        </w:tc>
        <w:tc>
          <w:tcPr>
            <w:tcW w:type="dxa" w:w="2160"/>
          </w:tcPr>
          <w:p>
            <w:pPr>
              <w:jc w:val="right"/>
            </w:pPr>
            <w:r>
              <w:rPr>
                <w:sz w:val="20"/>
              </w:rPr>
              <w:t>December 31, 2024</w:t>
            </w:r>
          </w:p>
        </w:tc>
      </w:tr>
      <w:tr>
        <w:tc>
          <w:tcPr>
            <w:tcW w:type="dxa" w:w="8640"/>
          </w:tcPr>
          <w:p>
            <w:r>
              <w:rPr>
                <w:sz w:val="20"/>
              </w:rPr>
              <w:t>Process development and investigation</w:t>
            </w:r>
          </w:p>
        </w:tc>
        <w:tc>
          <w:tcPr>
            <w:tcW w:type="dxa" w:w="2160"/>
          </w:tcPr>
          <w:p>
            <w:pPr>
              <w:jc w:val="right"/>
            </w:pPr>
            <w:r>
              <w:rPr>
                <w:sz w:val="20"/>
              </w:rPr>
              <w:t>June 30, 2025</w:t>
            </w:r>
          </w:p>
        </w:tc>
      </w:tr>
      <w:tr>
        <w:tc>
          <w:tcPr>
            <w:tcW w:type="dxa" w:w="8640"/>
          </w:tcPr>
          <w:p>
            <w:r>
              <w:rPr>
                <w:sz w:val="20"/>
              </w:rPr>
              <w:t>Evaluation of the process and product yield and quality</w:t>
            </w:r>
          </w:p>
        </w:tc>
        <w:tc>
          <w:tcPr>
            <w:tcW w:type="dxa" w:w="2160"/>
          </w:tcPr>
          <w:p>
            <w:pPr>
              <w:jc w:val="right"/>
            </w:pPr>
            <w:r>
              <w:rPr>
                <w:sz w:val="20"/>
              </w:rPr>
              <w:t>June 30, 2025</w:t>
            </w:r>
          </w:p>
        </w:tc>
      </w:tr>
    </w:tbl>
    <w:p/>
    <w:p>
      <w:pPr>
        <w:pStyle w:val="Heading3"/>
        <w:spacing w:after="60"/>
      </w:pPr>
      <w:r>
        <w:rPr>
          <w:b/>
          <w:color w:val="254885"/>
          <w:sz w:val="26"/>
        </w:rPr>
        <w:t>Activity 2: CO2 removal and H2 enhancement in a chemical looping process</w:t>
      </w:r>
    </w:p>
    <w:p>
      <w:r>
        <w:rPr>
          <w:b/>
        </w:rPr>
        <w:t xml:space="preserve">Activity Budget: </w:t>
      </w:r>
      <w:r>
        <w:t>$160,000</w:t>
      </w:r>
    </w:p>
    <w:p>
      <w:r>
        <w:rPr>
          <w:b/>
        </w:rPr>
        <w:t xml:space="preserve">Activity Description: </w:t>
        <w:br/>
      </w:r>
      <w:r>
        <w:t>The non-condensable pyrolytic gas mixture (composed of CO, CO2, H2, CH4 and C1-C4 hydrocarbons) will be further transported into a chemical looping unit, where CO2 can be absorbed by calcium oxide and CO and CH4 can react with steam to produce hydrogen. The produced calcium carbonate will be delivered to another high temperature process for CO2 release, where the pure CO2 can be collected for other purposes, e.g. plastic manufacturing, carbon material activation. This chemical looping process can not only separate CO2 but also enhance hydrogen production, thereby improving the economic and environmental competitiveness of catalytic microwave-assisted pyrolysis technology. Some metal promoters will be also loaded on the porous calcium oxide to enhance hydrogen production via CH4/CO steam reforming reactions. Process parameters including temperature, porous calcium oxide structure, and reactor design will be optimized.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Different porous calcium oxides will be designed and evaluated</w:t>
            </w:r>
          </w:p>
        </w:tc>
        <w:tc>
          <w:tcPr>
            <w:tcW w:type="dxa" w:w="2160"/>
          </w:tcPr>
          <w:p>
            <w:pPr>
              <w:jc w:val="right"/>
            </w:pPr>
            <w:r>
              <w:rPr>
                <w:sz w:val="20"/>
              </w:rPr>
              <w:t>June 30, 2025</w:t>
            </w:r>
          </w:p>
        </w:tc>
      </w:tr>
      <w:tr>
        <w:tc>
          <w:tcPr>
            <w:tcW w:type="dxa" w:w="8640"/>
          </w:tcPr>
          <w:p>
            <w:r>
              <w:rPr>
                <w:sz w:val="20"/>
              </w:rPr>
              <w:t>Optimization of the process</w:t>
            </w:r>
          </w:p>
        </w:tc>
        <w:tc>
          <w:tcPr>
            <w:tcW w:type="dxa" w:w="2160"/>
          </w:tcPr>
          <w:p>
            <w:pPr>
              <w:jc w:val="right"/>
            </w:pPr>
            <w:r>
              <w:rPr>
                <w:sz w:val="20"/>
              </w:rPr>
              <w:t>June 30, 2025</w:t>
            </w:r>
          </w:p>
        </w:tc>
      </w:tr>
      <w:tr>
        <w:tc>
          <w:tcPr>
            <w:tcW w:type="dxa" w:w="8640"/>
          </w:tcPr>
          <w:p>
            <w:r>
              <w:rPr>
                <w:sz w:val="20"/>
              </w:rPr>
              <w:t>Energy efficiency will be evaluated</w:t>
            </w:r>
          </w:p>
        </w:tc>
        <w:tc>
          <w:tcPr>
            <w:tcW w:type="dxa" w:w="2160"/>
          </w:tcPr>
          <w:p>
            <w:pPr>
              <w:jc w:val="right"/>
            </w:pPr>
            <w:r>
              <w:rPr>
                <w:sz w:val="20"/>
              </w:rPr>
              <w:t>June 30, 2025</w:t>
            </w:r>
          </w:p>
        </w:tc>
      </w:tr>
      <w:tr>
        <w:tc>
          <w:tcPr>
            <w:tcW w:type="dxa" w:w="8640"/>
          </w:tcPr>
          <w:p>
            <w:r>
              <w:rPr>
                <w:sz w:val="20"/>
              </w:rPr>
              <w:t>Verification of the process</w:t>
            </w:r>
          </w:p>
        </w:tc>
        <w:tc>
          <w:tcPr>
            <w:tcW w:type="dxa" w:w="2160"/>
          </w:tcPr>
          <w:p>
            <w:pPr>
              <w:jc w:val="right"/>
            </w:pPr>
            <w:r>
              <w:rPr>
                <w:sz w:val="20"/>
              </w:rPr>
              <w:t>December 31, 2025</w:t>
            </w:r>
          </w:p>
        </w:tc>
      </w:tr>
    </w:tbl>
    <w:p/>
    <w:p>
      <w:pPr>
        <w:pStyle w:val="Heading3"/>
        <w:spacing w:after="60"/>
      </w:pPr>
      <w:r>
        <w:rPr>
          <w:b/>
          <w:color w:val="254885"/>
          <w:sz w:val="26"/>
        </w:rPr>
        <w:t>Activity 3: Evaluate the potential economic, environmental and ecological impacts of the proposed technology</w:t>
      </w:r>
    </w:p>
    <w:p>
      <w:r>
        <w:rPr>
          <w:b/>
        </w:rPr>
        <w:t xml:space="preserve">Activity Budget: </w:t>
      </w:r>
      <w:r>
        <w:t>$89,000</w:t>
      </w:r>
    </w:p>
    <w:p>
      <w:r>
        <w:rPr>
          <w:b/>
        </w:rPr>
        <w:t xml:space="preserve">Activity Description: </w:t>
        <w:br/>
      </w:r>
      <w:r>
        <w:t>For this small project, we plan to conduct preliminary studies to provide big pictures of the potential economic, environmental and ecological impacts of the proposed technology. Additional data on mass and energy balance will be collected. Greenhouse gas emission during the process will be monitored.  An input-output model will be used for economic analysis. The energy consumption, greenhouse gas emission, and waste reduction will be considered in the assessment of environmental and ecological impacts of the technology.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Collection of mass and energy balance data</w:t>
            </w:r>
          </w:p>
        </w:tc>
        <w:tc>
          <w:tcPr>
            <w:tcW w:type="dxa" w:w="2160"/>
          </w:tcPr>
          <w:p>
            <w:pPr>
              <w:jc w:val="right"/>
            </w:pPr>
            <w:r>
              <w:rPr>
                <w:sz w:val="20"/>
              </w:rPr>
              <w:t>December 31, 2025</w:t>
            </w:r>
          </w:p>
        </w:tc>
      </w:tr>
      <w:tr>
        <w:tc>
          <w:tcPr>
            <w:tcW w:type="dxa" w:w="8640"/>
          </w:tcPr>
          <w:p>
            <w:r>
              <w:rPr>
                <w:sz w:val="20"/>
              </w:rPr>
              <w:t>Monitoring of greenhouse gas emission</w:t>
            </w:r>
          </w:p>
        </w:tc>
        <w:tc>
          <w:tcPr>
            <w:tcW w:type="dxa" w:w="2160"/>
          </w:tcPr>
          <w:p>
            <w:pPr>
              <w:jc w:val="right"/>
            </w:pPr>
            <w:r>
              <w:rPr>
                <w:sz w:val="20"/>
              </w:rPr>
              <w:t>December 31, 2025</w:t>
            </w:r>
          </w:p>
        </w:tc>
      </w:tr>
      <w:tr>
        <w:tc>
          <w:tcPr>
            <w:tcW w:type="dxa" w:w="8640"/>
          </w:tcPr>
          <w:p>
            <w:r>
              <w:rPr>
                <w:sz w:val="20"/>
              </w:rPr>
              <w:t>Estimate of potential reduction in MSW and production of valuable products</w:t>
            </w:r>
          </w:p>
        </w:tc>
        <w:tc>
          <w:tcPr>
            <w:tcW w:type="dxa" w:w="2160"/>
          </w:tcPr>
          <w:p>
            <w:pPr>
              <w:jc w:val="right"/>
            </w:pPr>
            <w:r>
              <w:rPr>
                <w:sz w:val="20"/>
              </w:rPr>
              <w:t>December 31, 2025</w:t>
            </w:r>
          </w:p>
        </w:tc>
      </w:tr>
      <w:tr>
        <w:tc>
          <w:tcPr>
            <w:tcW w:type="dxa" w:w="8640"/>
          </w:tcPr>
          <w:p>
            <w:r>
              <w:rPr>
                <w:sz w:val="20"/>
              </w:rPr>
              <w:t>Preliminary assessment of economic, environmental, and ecological impacts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of this effort will be used for seeking external agencies such as the National Science Foundation and the US Department of Energy. The potential economic, environmental and ecological impacts will be also presented to the stakeholders to raise their awareness and attract their support. We will seek industry partners and private, state, and federal funding to further develop and eventually commercialize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Ruan, Professor and Director of Graduate Studies of Bioproducts and Biosystems Engineering Department, and Director of Center for Biorefining at University of Minnesota, is a Fellow of ASABE, IFT, Vebleo, and IAAM, and has received many other awards, including CAFS Professional Achievement and Scientist of IAAM, etc. He is a top cited author in engineering and technology with an h-index of 80, i10-index of 392, and has over 25,000 citations. Dr. Ruan’s research include renewable energy and environment technologies for sustainable development. He has published over 500 referred journal articles, two books, 24 book chapters, and holds 20 US patents in the areas of municipal, agricultural, and industrial liquid and solid waste including biomass and waste plastics treatment and utilization through novel anaerobic digestion, microalgae and hydroponic cultivation, pyrolysis and gasification, airborne and other pathogen disinfection and pollutant control, catalysis, non-thermal plasma, and nitrogen fixation, etc. He has received over 200 grants totaling over $45 million in various funding for research, including major grants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He has supervised over 75 graduate students, 140 post-doctors, research fellows, and other engineers and scientists. He has given over 300 keynote lectures, invited symposium presentations, and short courses. His earlier LCCMR funded projects have resulted in several patented technologies which have been successfully licensed to the industry. He has the technical expertise and project management experience to ensure the execution of proposed project.</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Primary Investigator - project lead, advises researchers, plans and directs research, oversees budget, monitors and reports progress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$15,940</w:t>
            </w:r>
          </w:p>
        </w:tc>
      </w:tr>
      <w:tr>
        <w:tc>
          <w:tcPr>
            <w:tcW w:type="dxa" w:w="864"/>
          </w:tcPr>
          <w:p>
            <w:r>
              <w:rPr>
                <w:sz w:val="20"/>
              </w:rPr>
              <w:t>Professor/faculty</w:t>
            </w:r>
          </w:p>
        </w:tc>
        <w:tc>
          <w:tcPr>
            <w:tcW w:type="dxa" w:w="1440"/>
          </w:tcPr>
          <w:p>
            <w:r>
              <w:rPr>
                <w:sz w:val="20"/>
              </w:rPr>
            </w:r>
          </w:p>
        </w:tc>
        <w:tc>
          <w:tcPr>
            <w:tcW w:type="dxa" w:w="5472"/>
          </w:tcPr>
          <w:p>
            <w:r>
              <w:rPr>
                <w:sz w:val="20"/>
              </w:rPr>
              <w:t>Co-Primary Investigator - advises researchers, designs and directs experiments, conducts data analysis, writes reports and publications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$69,062</w:t>
            </w:r>
          </w:p>
        </w:tc>
      </w:tr>
      <w:tr>
        <w:tc>
          <w:tcPr>
            <w:tcW w:type="dxa" w:w="864"/>
          </w:tcPr>
          <w:p>
            <w:r>
              <w:rPr>
                <w:sz w:val="20"/>
              </w:rPr>
              <w:t>1 Graduate Research Assistant</w:t>
            </w:r>
          </w:p>
        </w:tc>
        <w:tc>
          <w:tcPr>
            <w:tcW w:type="dxa" w:w="1440"/>
          </w:tcPr>
          <w:p>
            <w:r>
              <w:rPr>
                <w:sz w:val="20"/>
              </w:rPr>
            </w:r>
          </w:p>
        </w:tc>
        <w:tc>
          <w:tcPr>
            <w:tcW w:type="dxa" w:w="5472"/>
          </w:tcPr>
          <w:p>
            <w:r>
              <w:rPr>
                <w:sz w:val="20"/>
              </w:rPr>
              <w:t>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$160,139</w:t>
            </w:r>
          </w:p>
        </w:tc>
      </w:tr>
      <w:tr>
        <w:tc>
          <w:tcPr>
            <w:tcW w:type="dxa" w:w="864"/>
          </w:tcPr>
          <w:p>
            <w:r>
              <w:rPr>
                <w:sz w:val="20"/>
              </w:rPr>
              <w:t>Post Doctoral Reseracher</w:t>
            </w:r>
          </w:p>
        </w:tc>
        <w:tc>
          <w:tcPr>
            <w:tcW w:type="dxa" w:w="1440"/>
          </w:tcPr>
          <w:p>
            <w:r>
              <w:rPr>
                <w:sz w:val="20"/>
              </w:rPr>
            </w:r>
          </w:p>
        </w:tc>
        <w:tc>
          <w:tcPr>
            <w:tcW w:type="dxa" w:w="5472"/>
          </w:tcPr>
          <w:p>
            <w:r>
              <w:rPr>
                <w:sz w:val="20"/>
              </w:rPr>
              <w:t>designs and 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$185,001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$430,142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equipment manufacturer</w:t>
            </w:r>
          </w:p>
        </w:tc>
        <w:tc>
          <w:tcPr>
            <w:tcW w:type="dxa" w:w="1440"/>
          </w:tcPr>
          <w:p>
            <w:r>
              <w:rPr>
                <w:sz w:val="20"/>
              </w:rPr>
              <w:t>Professional or Technical Service Contract</w:t>
            </w:r>
          </w:p>
        </w:tc>
        <w:tc>
          <w:tcPr>
            <w:tcW w:type="dxa" w:w="5472"/>
          </w:tcPr>
          <w:p>
            <w:r>
              <w:rPr>
                <w:sz w:val="20"/>
              </w:rPr>
              <w:t>Maintenance and repair, including callibration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Components for fabrication of a small pilot system including reactor vessel, high voltage power supply, catalysts, pumps, membrane separator</w:t>
            </w:r>
          </w:p>
        </w:tc>
        <w:tc>
          <w:tcPr>
            <w:tcW w:type="dxa" w:w="4032"/>
          </w:tcPr>
          <w:p>
            <w:r>
              <w:rPr>
                <w:sz w:val="20"/>
              </w:rPr>
              <w:t>To fabricate a small pilot system for extensive testing, cost analysis, and demonstration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feedstock, catalysts, chemicals, consumable supplies for analytical instruments</w:t>
            </w:r>
          </w:p>
        </w:tc>
        <w:tc>
          <w:tcPr>
            <w:tcW w:type="dxa" w:w="4032"/>
          </w:tcPr>
          <w:p>
            <w:r>
              <w:rPr>
                <w:sz w:val="20"/>
              </w:rPr>
              <w:t>For running experiments and operating conversion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$31,858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$56,858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one-day 3-person trips, ~100 miles each round trip ($0.585/mile), meals @$49/person</w:t>
            </w:r>
          </w:p>
        </w:tc>
        <w:tc>
          <w:tcPr>
            <w:tcW w:type="dxa" w:w="4032"/>
          </w:tcPr>
          <w:p>
            <w:r>
              <w:rPr>
                <w:sz w:val="20"/>
              </w:rPr>
              <w:t>Visits to MSW sites and collect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2eeb0aaf-abd.pdf</w:t>
          </w:r>
        </w:hyperlink>
      </w:r>
    </w:p>
    <w:p>
      <w:pPr>
        <w:pStyle w:val="Heading4"/>
        <w:spacing w:before="40" w:after="20"/>
      </w:pPr>
      <w:r>
        <w:rPr>
          <w:b/>
          <w:i/>
          <w:color w:val="000000"/>
          <w:sz w:val="24"/>
        </w:rPr>
        <w:t>Alternate Text for Visual Component</w:t>
      </w:r>
    </w:p>
    <w:p>
      <w:r>
        <w:t>The visual shows the majority of MSW enters into landfills, lakes, rivers, or oceans and poses a great threat to our ecological system. Catalytic microwave-assisted pyrolysis (CMAP) coupled with a chemical looping technology provides a feasible and promising solution to the problems and produce valuable products and positive environmental impacts....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Financial audit</w:t>
            </w:r>
          </w:p>
        </w:tc>
        <w:tc>
          <w:tcPr>
            <w:tcW w:type="dxa" w:w="5400"/>
          </w:tcPr>
          <w:p>
            <w:r>
              <w:rPr>
                <w:sz w:val="20"/>
              </w:rPr>
            </w:r>
            <w:r>
              <w:rPr>
                <w:color w:val="000000" w:themeColor="hyperlink"/>
                <w:sz w:val="20"/>
                <w:u w:val="single"/>
              </w:rPr>
              <w:hyperlink r:id="rId13">
                <w:r>
                  <w:rPr/>
                  <w:t>c0bec3bb-235.pdf</w:t>
                </w:r>
              </w:hyperlink>
            </w:r>
          </w:p>
        </w:tc>
      </w:tr>
      <w:tr>
        <w:tc>
          <w:tcPr>
            <w:tcW w:type="dxa" w:w="5400"/>
          </w:tcPr>
          <w:p>
            <w:r>
              <w:rPr>
                <w:sz w:val="20"/>
              </w:rPr>
              <w:t>Institutional Authorization to Submit</w:t>
            </w:r>
          </w:p>
        </w:tc>
        <w:tc>
          <w:tcPr>
            <w:tcW w:type="dxa" w:w="5400"/>
          </w:tcPr>
          <w:p>
            <w:r>
              <w:rPr>
                <w:sz w:val="20"/>
              </w:rPr>
            </w:r>
            <w:r>
              <w:rPr>
                <w:color w:val="000000" w:themeColor="hyperlink"/>
                <w:sz w:val="20"/>
                <w:u w:val="single"/>
              </w:rPr>
              <w:hyperlink r:id="rId14">
                <w:r>
                  <w:rPr/>
                  <w:t>ff942698-52d.pdf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eeb0aaf-abd.pdf" TargetMode="External"/><Relationship Id="rId13" Type="http://schemas.openxmlformats.org/officeDocument/2006/relationships/hyperlink" Target="https://lccmrprojectmgmt.leg.mn/media/attachments/c0bec3bb-235.pdf" TargetMode="External"/><Relationship Id="rId14" Type="http://schemas.openxmlformats.org/officeDocument/2006/relationships/hyperlink" Target="https://lccmrprojectmgmt.leg.mn/media/attachments/ff942698-52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Complete Municipal Solid Waste Valorization Towards Carbon Neutrality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