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2023-100</w:t>
      </w:r>
    </w:p>
    <w:p>
      <w:r>
        <w:rPr>
          <w:b/>
        </w:rPr>
        <w:t xml:space="preserve">Proposal Title: </w:t>
      </w:r>
      <w:r>
        <w:t>Planting for the Future</w:t>
      </w:r>
    </w:p>
    <w:p/>
    <w:p>
      <w:pPr>
        <w:pStyle w:val="Heading2"/>
        <w:spacing w:before="0" w:after="80"/>
      </w:pPr>
      <w:r>
        <w:rPr>
          <w:b/>
          <w:color w:val="2C559C"/>
          <w:sz w:val="28"/>
        </w:rPr>
        <w:t>Project Manager Information</w:t>
      </w:r>
    </w:p>
    <w:p>
      <w:r>
        <w:rPr>
          <w:b/>
        </w:rPr>
        <w:t xml:space="preserve">Name: </w:t>
      </w:r>
      <w:r>
        <w:t>Shannon Wettstein</w:t>
      </w:r>
    </w:p>
    <w:p>
      <w:r>
        <w:rPr>
          <w:b/>
        </w:rPr>
        <w:t xml:space="preserve">Organization: </w:t>
      </w:r>
      <w:r>
        <w:t>Morrison Soil and Water Conservation District</w:t>
      </w:r>
    </w:p>
    <w:p>
      <w:r>
        <w:rPr>
          <w:b/>
        </w:rPr>
        <w:t xml:space="preserve">Office Telephone: </w:t>
      </w:r>
      <w:r>
        <w:t>(320) 631-3553</w:t>
      </w:r>
    </w:p>
    <w:p>
      <w:r>
        <w:rPr>
          <w:b/>
        </w:rPr>
        <w:t xml:space="preserve">Email: </w:t>
      </w:r>
      <w:r>
        <w:t>shannon.wettstein@morrisonswcd.org</w:t>
      </w:r>
    </w:p>
    <w:p/>
    <w:p>
      <w:pPr>
        <w:pStyle w:val="Heading2"/>
        <w:spacing w:before="0" w:after="80"/>
      </w:pPr>
      <w:r>
        <w:rPr>
          <w:b/>
          <w:color w:val="2C559C"/>
          <w:sz w:val="28"/>
        </w:rPr>
        <w:t>Project Basic Information</w:t>
      </w:r>
    </w:p>
    <w:p>
      <w:r>
        <w:rPr>
          <w:b/>
        </w:rPr>
        <w:t xml:space="preserve">Project Summary: </w:t>
      </w:r>
      <w:r>
        <w:t>This project integrates specific cultural customs among American Indian groups with environmental education on native prairie plants.</w:t>
      </w:r>
    </w:p>
    <w:p>
      <w:r>
        <w:rPr>
          <w:b/>
        </w:rPr>
        <w:t xml:space="preserve">Funds Requested: </w:t>
      </w:r>
      <w:r>
        <w:t>$82,000</w:t>
      </w:r>
    </w:p>
    <w:p>
      <w:r>
        <w:rPr>
          <w:b/>
        </w:rPr>
        <w:t xml:space="preserve">Proposed Project Completion: </w:t>
      </w:r>
      <w:r>
        <w:t>October 31, 2026</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historical use of culturally significant plants is of interest to many Tribal peoples and to the general public. The Bug-O-Nay Ge-Shig School of the Leech Lake Band of Ojibwe requested access to Camp Ripley to harvest sage as a component of their cultural curriculum in 2019. Tribal school field trips have occurred for several years before this dialogue to expand the event. This proposal seeks to expand the sage harvest event to include additional public schools and schools within the Anishinaabe Tribes and will include traditional grassland plantings, cultural activities lead by the Mille Lacs Tribal Preservation Officer and the Mille Lacs Indian Museum and Trading Post. The event will be hosted by leadership staff from Camp Ripely Training Center and include support from the Minnesota National Guard's office of Diversity and Inclusion. The event seeks to enhance hands-on learning opportunities about Minnesota's native prairies and many cultural customs that exist on several species of plants.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event will include a field trip for high school students engaged with plantings of native prairie plants that are intended to increase understanding of Anishinaabe traditional culture and the use of sacred plants; as well as engage in land management techniques that are used to maintain and preserve Minnesota's native prairie's. Camp Ripely has several sites that are managed for native prairies. These sites will serve as the additional planting enhancements sites and sage harvesting sites. All sage that is harvested from the locations will be taken by the Tribal schools for ceremonial use throughout the year. In addition, students will be integrated with natural resource professionals as well as soldiers within the Minnesota National Guard. This integration teaches Minnesota National Guard Soldiers about diverse cultures and students see first hand that diversity and inclusion is respected within the National Guard.</w:t>
      </w:r>
    </w:p>
    <w:p>
      <w:pPr>
        <w:spacing w:after="60"/>
      </w:pPr>
      <w:r>
        <w:rPr>
          <w:b/>
        </w:rPr>
        <w:t xml:space="preserve">What are the specific project outcomes as they relate to the public purpose of protection, conservation, preservation, and enhancement of the state’s natural resources? </w:t>
      </w:r>
    </w:p>
    <w:p>
      <w:r>
        <w:t>Enhancing Minnesota native prairie's while learning about ecological management and conservation and cultural customs related to native plants.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Event Coordination</w:t>
      </w:r>
    </w:p>
    <w:p>
      <w:r>
        <w:rPr>
          <w:b/>
        </w:rPr>
        <w:t xml:space="preserve">Activity Budget: </w:t>
      </w:r>
      <w:r>
        <w:t>$25,000</w:t>
      </w:r>
    </w:p>
    <w:p>
      <w:r>
        <w:rPr>
          <w:b/>
        </w:rPr>
        <w:t xml:space="preserve">Activity Description: </w:t>
        <w:br/>
      </w:r>
      <w:r>
        <w:t>Event coordination will include working with area schools to promote the event and secure attendance. Budget for this activity includes transportation and meals for students attending events.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School confirmations</w:t>
            </w:r>
          </w:p>
        </w:tc>
        <w:tc>
          <w:tcPr>
            <w:tcW w:type="dxa" w:w="2160"/>
          </w:tcPr>
          <w:p>
            <w:pPr>
              <w:jc w:val="right"/>
            </w:pPr>
            <w:r>
              <w:rPr>
                <w:sz w:val="20"/>
              </w:rPr>
              <w:t>September 30, 2023</w:t>
            </w:r>
          </w:p>
        </w:tc>
      </w:tr>
    </w:tbl>
    <w:p/>
    <w:p>
      <w:pPr>
        <w:pStyle w:val="Heading3"/>
        <w:spacing w:after="60"/>
      </w:pPr>
      <w:r>
        <w:rPr>
          <w:b/>
          <w:color w:val="254885"/>
          <w:sz w:val="26"/>
        </w:rPr>
        <w:t>Activity 2: Prairie enhancement activities</w:t>
      </w:r>
    </w:p>
    <w:p>
      <w:r>
        <w:rPr>
          <w:b/>
        </w:rPr>
        <w:t xml:space="preserve">Activity Budget: </w:t>
      </w:r>
      <w:r>
        <w:t>$15,000</w:t>
      </w:r>
    </w:p>
    <w:p>
      <w:r>
        <w:rPr>
          <w:b/>
        </w:rPr>
        <w:t xml:space="preserve">Activity Description: </w:t>
        <w:br/>
      </w:r>
      <w:r>
        <w:t>Plugs of several species of prairie plants will be acquired to plant during the event.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Plants acquired</w:t>
            </w:r>
          </w:p>
        </w:tc>
        <w:tc>
          <w:tcPr>
            <w:tcW w:type="dxa" w:w="2160"/>
          </w:tcPr>
          <w:p>
            <w:pPr>
              <w:jc w:val="right"/>
            </w:pPr>
            <w:r>
              <w:rPr>
                <w:sz w:val="20"/>
              </w:rPr>
              <w:t>September 30, 2023</w:t>
            </w:r>
          </w:p>
        </w:tc>
      </w:tr>
    </w:tbl>
    <w:p/>
    <w:p>
      <w:pPr>
        <w:pStyle w:val="Heading3"/>
        <w:spacing w:after="60"/>
      </w:pPr>
      <w:r>
        <w:rPr>
          <w:b/>
          <w:color w:val="254885"/>
          <w:sz w:val="26"/>
        </w:rPr>
        <w:t>Activity 3: Planting for the Future Event</w:t>
      </w:r>
    </w:p>
    <w:p>
      <w:r>
        <w:rPr>
          <w:b/>
        </w:rPr>
        <w:t xml:space="preserve">Activity Budget: </w:t>
      </w:r>
      <w:r>
        <w:t>$1,000</w:t>
      </w:r>
    </w:p>
    <w:p>
      <w:r>
        <w:rPr>
          <w:b/>
        </w:rPr>
        <w:t xml:space="preserve">Activity Description: </w:t>
        <w:br/>
      </w:r>
      <w:r>
        <w:t>Event will include implementation of the coordinated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Event Implementaiton</w:t>
            </w:r>
          </w:p>
        </w:tc>
        <w:tc>
          <w:tcPr>
            <w:tcW w:type="dxa" w:w="2160"/>
          </w:tcPr>
          <w:p>
            <w:pPr>
              <w:jc w:val="right"/>
            </w:pPr>
            <w:r>
              <w:rPr>
                <w:sz w:val="20"/>
              </w:rPr>
              <w:t>October 31, 2023</w:t>
            </w:r>
          </w:p>
        </w:tc>
      </w:tr>
    </w:tbl>
    <w:p/>
    <w:p>
      <w:pPr>
        <w:pStyle w:val="Heading3"/>
        <w:spacing w:after="60"/>
      </w:pPr>
      <w:r>
        <w:rPr>
          <w:b/>
          <w:color w:val="254885"/>
          <w:sz w:val="26"/>
        </w:rPr>
        <w:t>Activity 4: Event Coordination Year 2</w:t>
      </w:r>
    </w:p>
    <w:p>
      <w:r>
        <w:rPr>
          <w:b/>
        </w:rPr>
        <w:t xml:space="preserve">Activity Budget: </w:t>
      </w:r>
      <w:r>
        <w:t>$25,000</w:t>
      </w:r>
    </w:p>
    <w:p>
      <w:r>
        <w:rPr>
          <w:b/>
        </w:rPr>
        <w:t xml:space="preserve">Activity Description: </w:t>
        <w:br/>
      </w:r>
      <w:r>
        <w:t>Event coordination will include working with area schools to promote the event and secure attendance. Budget for this activity includes transportation and meals for students attending events.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Event facilitation details completed</w:t>
            </w:r>
          </w:p>
        </w:tc>
        <w:tc>
          <w:tcPr>
            <w:tcW w:type="dxa" w:w="2160"/>
          </w:tcPr>
          <w:p>
            <w:pPr>
              <w:jc w:val="right"/>
            </w:pPr>
            <w:r>
              <w:rPr>
                <w:sz w:val="20"/>
              </w:rPr>
              <w:t>September 30, 2024</w:t>
            </w:r>
          </w:p>
        </w:tc>
      </w:tr>
    </w:tbl>
    <w:p/>
    <w:p>
      <w:pPr>
        <w:pStyle w:val="Heading3"/>
        <w:spacing w:after="60"/>
      </w:pPr>
      <w:r>
        <w:rPr>
          <w:b/>
          <w:color w:val="254885"/>
          <w:sz w:val="26"/>
        </w:rPr>
        <w:t>Activity 5: Prairie enhancement activities year 2</w:t>
      </w:r>
    </w:p>
    <w:p>
      <w:r>
        <w:rPr>
          <w:b/>
        </w:rPr>
        <w:t xml:space="preserve">Activity Budget: </w:t>
      </w:r>
      <w:r>
        <w:t>$15,000</w:t>
      </w:r>
    </w:p>
    <w:p>
      <w:r>
        <w:rPr>
          <w:b/>
        </w:rPr>
        <w:t xml:space="preserve">Activity Description: </w:t>
        <w:br/>
      </w:r>
      <w:r>
        <w:t>Plugs of several species of prairie plants will be acquired to plant during the event.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Plants acquired</w:t>
            </w:r>
          </w:p>
        </w:tc>
        <w:tc>
          <w:tcPr>
            <w:tcW w:type="dxa" w:w="2160"/>
          </w:tcPr>
          <w:p>
            <w:pPr>
              <w:jc w:val="right"/>
            </w:pPr>
            <w:r>
              <w:rPr>
                <w:sz w:val="20"/>
              </w:rPr>
              <w:t>September 30, 2024</w:t>
            </w:r>
          </w:p>
        </w:tc>
      </w:tr>
    </w:tbl>
    <w:p/>
    <w:p>
      <w:pPr>
        <w:pStyle w:val="Heading3"/>
        <w:spacing w:after="60"/>
      </w:pPr>
      <w:r>
        <w:rPr>
          <w:b/>
          <w:color w:val="254885"/>
          <w:sz w:val="26"/>
        </w:rPr>
        <w:t>Activity 6: Planting for the Future event Year 2</w:t>
      </w:r>
    </w:p>
    <w:p>
      <w:r>
        <w:rPr>
          <w:b/>
        </w:rPr>
        <w:t xml:space="preserve">Activity Budget: </w:t>
      </w:r>
      <w:r>
        <w:t>$1,000</w:t>
      </w:r>
    </w:p>
    <w:p>
      <w:r>
        <w:rPr>
          <w:b/>
        </w:rPr>
        <w:t xml:space="preserve">Activity Description: </w:t>
        <w:br/>
      </w:r>
      <w:r>
        <w:t>Event will include implementation of the coordinated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Event Implementation</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Camp Ripley Training Center</w:t>
            </w:r>
          </w:p>
        </w:tc>
        <w:tc>
          <w:tcPr>
            <w:tcW w:type="dxa" w:w="1440"/>
          </w:tcPr>
          <w:p>
            <w:r>
              <w:rPr>
                <w:sz w:val="20"/>
              </w:rPr>
              <w:t>Minnesota Department of Military Affairs</w:t>
            </w:r>
          </w:p>
        </w:tc>
        <w:tc>
          <w:tcPr>
            <w:tcW w:type="dxa" w:w="6840"/>
          </w:tcPr>
          <w:p>
            <w:r>
              <w:rPr>
                <w:sz w:val="20"/>
              </w:rPr>
              <w:t>Host</w:t>
            </w:r>
          </w:p>
        </w:tc>
        <w:tc>
          <w:tcPr>
            <w:tcW w:type="dxa" w:w="1080"/>
          </w:tcPr>
          <w:p>
            <w:r>
              <w:rPr>
                <w:sz w:val="20"/>
              </w:rPr>
              <w:t>No</w:t>
            </w:r>
          </w:p>
        </w:tc>
      </w:tr>
      <w:tr>
        <w:tc>
          <w:tcPr>
            <w:tcW w:type="dxa" w:w="1440"/>
          </w:tcPr>
          <w:p>
            <w:r>
              <w:rPr>
                <w:sz w:val="20"/>
              </w:rPr>
              <w:t>Mille Lacs Indian Museum and Trading Post</w:t>
            </w:r>
          </w:p>
        </w:tc>
        <w:tc>
          <w:tcPr>
            <w:tcW w:type="dxa" w:w="1440"/>
          </w:tcPr>
          <w:p>
            <w:r>
              <w:rPr>
                <w:sz w:val="20"/>
              </w:rPr>
              <w:t>Minnesota Historical Society Museum</w:t>
            </w:r>
          </w:p>
        </w:tc>
        <w:tc>
          <w:tcPr>
            <w:tcW w:type="dxa" w:w="6840"/>
          </w:tcPr>
          <w:p>
            <w:r>
              <w:rPr>
                <w:sz w:val="20"/>
              </w:rPr>
              <w:t>Event Coordination and Support</w:t>
            </w:r>
          </w:p>
        </w:tc>
        <w:tc>
          <w:tcPr>
            <w:tcW w:type="dxa" w:w="1080"/>
          </w:tcPr>
          <w:p>
            <w:r>
              <w:rPr>
                <w:sz w:val="20"/>
              </w:rPr>
              <w:t>Yes</w:t>
            </w:r>
          </w:p>
        </w:tc>
      </w:tr>
      <w:tr>
        <w:tc>
          <w:tcPr>
            <w:tcW w:type="dxa" w:w="1440"/>
          </w:tcPr>
          <w:p>
            <w:r>
              <w:rPr>
                <w:sz w:val="20"/>
              </w:rPr>
              <w:t>Mille Lacs Tribal and Historical Preservation Office</w:t>
            </w:r>
          </w:p>
        </w:tc>
        <w:tc>
          <w:tcPr>
            <w:tcW w:type="dxa" w:w="1440"/>
          </w:tcPr>
          <w:p>
            <w:r>
              <w:rPr>
                <w:sz w:val="20"/>
              </w:rPr>
              <w:t>Government entitiy</w:t>
            </w:r>
          </w:p>
        </w:tc>
        <w:tc>
          <w:tcPr>
            <w:tcW w:type="dxa" w:w="6840"/>
          </w:tcPr>
          <w:p>
            <w:r>
              <w:rPr>
                <w:sz w:val="20"/>
              </w:rPr>
              <w:t>Event coordination</w:t>
            </w:r>
          </w:p>
        </w:tc>
        <w:tc>
          <w:tcPr>
            <w:tcW w:type="dxa" w:w="1080"/>
          </w:tcPr>
          <w:p>
            <w:r>
              <w:rPr>
                <w:sz w:val="20"/>
              </w:rPr>
              <w:t>No</w:t>
            </w:r>
          </w:p>
        </w:tc>
      </w:tr>
      <w:tr>
        <w:tc>
          <w:tcPr>
            <w:tcW w:type="dxa" w:w="1440"/>
          </w:tcPr>
          <w:p>
            <w:r>
              <w:rPr>
                <w:sz w:val="20"/>
              </w:rPr>
              <w:t>Bug-O-Nay-Ge-Shig</w:t>
            </w:r>
          </w:p>
        </w:tc>
        <w:tc>
          <w:tcPr>
            <w:tcW w:type="dxa" w:w="1440"/>
          </w:tcPr>
          <w:p>
            <w:r>
              <w:rPr>
                <w:sz w:val="20"/>
              </w:rPr>
              <w:t>Tribal School</w:t>
            </w:r>
          </w:p>
        </w:tc>
        <w:tc>
          <w:tcPr>
            <w:tcW w:type="dxa" w:w="6840"/>
          </w:tcPr>
          <w:p>
            <w:r>
              <w:rPr>
                <w:sz w:val="20"/>
              </w:rPr>
              <w:t>Participant</w:t>
            </w:r>
          </w:p>
        </w:tc>
        <w:tc>
          <w:tcPr>
            <w:tcW w:type="dxa" w:w="1080"/>
          </w:tcPr>
          <w:p>
            <w:r>
              <w:rPr>
                <w:sz w:val="20"/>
              </w:rPr>
              <w:t>Yes</w:t>
            </w:r>
          </w:p>
        </w:tc>
      </w:tr>
      <w:tr>
        <w:tc>
          <w:tcPr>
            <w:tcW w:type="dxa" w:w="1440"/>
          </w:tcPr>
          <w:p>
            <w:r>
              <w:rPr>
                <w:sz w:val="20"/>
              </w:rPr>
              <w:t>Nay-Ah-Shing School</w:t>
            </w:r>
          </w:p>
        </w:tc>
        <w:tc>
          <w:tcPr>
            <w:tcW w:type="dxa" w:w="1440"/>
          </w:tcPr>
          <w:p>
            <w:r>
              <w:rPr>
                <w:sz w:val="20"/>
              </w:rPr>
              <w:t>Tribal School</w:t>
            </w:r>
          </w:p>
        </w:tc>
        <w:tc>
          <w:tcPr>
            <w:tcW w:type="dxa" w:w="6840"/>
          </w:tcPr>
          <w:p>
            <w:r>
              <w:rPr>
                <w:sz w:val="20"/>
              </w:rPr>
              <w:t>Participant</w:t>
            </w:r>
          </w:p>
        </w:tc>
        <w:tc>
          <w:tcPr>
            <w:tcW w:type="dxa" w:w="1080"/>
          </w:tcPr>
          <w:p>
            <w:r>
              <w:rPr>
                <w:sz w:val="20"/>
              </w:rPr>
              <w:t>Yes</w:t>
            </w:r>
          </w:p>
        </w:tc>
      </w:tr>
      <w:tr>
        <w:tc>
          <w:tcPr>
            <w:tcW w:type="dxa" w:w="1440"/>
          </w:tcPr>
          <w:p>
            <w:r>
              <w:rPr>
                <w:sz w:val="20"/>
              </w:rPr>
              <w:t>Mille Lacs-Kathio State Park</w:t>
            </w:r>
          </w:p>
        </w:tc>
        <w:tc>
          <w:tcPr>
            <w:tcW w:type="dxa" w:w="1440"/>
          </w:tcPr>
          <w:p>
            <w:r>
              <w:rPr>
                <w:sz w:val="20"/>
              </w:rPr>
              <w:t>Minnesota Department of Natural Resources</w:t>
            </w:r>
          </w:p>
        </w:tc>
        <w:tc>
          <w:tcPr>
            <w:tcW w:type="dxa" w:w="6840"/>
          </w:tcPr>
          <w:p>
            <w:r>
              <w:rPr>
                <w:sz w:val="20"/>
              </w:rPr>
              <w:t>Coordination and activity lead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partnerships and additional collaborators will seek to sustain the educational events after project completion.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Morrison County Performance Drainage and Hydrology Management II</w:t>
            </w:r>
          </w:p>
        </w:tc>
        <w:tc>
          <w:tcPr>
            <w:tcW w:type="dxa" w:w="4680"/>
          </w:tcPr>
          <w:p>
            <w:r>
              <w:rPr>
                <w:sz w:val="20"/>
              </w:rPr>
              <w:t>M.L. 2021, First Special Session, Chp. 6, Art. 6, Sec. 2, Subd. 03j</w:t>
            </w:r>
          </w:p>
        </w:tc>
        <w:tc>
          <w:tcPr>
            <w:tcW w:type="dxa" w:w="1440"/>
          </w:tcPr>
          <w:p>
            <w:pPr>
              <w:jc w:val="right"/>
            </w:pPr>
            <w:r>
              <w:rPr>
                <w:sz w:val="20"/>
              </w:rPr>
              <w:t>$197,000</w:t>
            </w:r>
          </w:p>
        </w:tc>
      </w:tr>
      <w:tr>
        <w:tc>
          <w:tcPr>
            <w:tcW w:type="dxa" w:w="4680"/>
          </w:tcPr>
          <w:p>
            <w:r>
              <w:rPr>
                <w:sz w:val="20"/>
              </w:rPr>
              <w:t>Oak Wilt Suppression At The Northern Edge II</w:t>
            </w:r>
          </w:p>
        </w:tc>
        <w:tc>
          <w:tcPr>
            <w:tcW w:type="dxa" w:w="4680"/>
          </w:tcPr>
          <w:p>
            <w:r>
              <w:rPr>
                <w:sz w:val="20"/>
              </w:rPr>
              <w:t>M.L. 2021, First Special Session, Chp. 6, Art. 6, Sec. 2, Subd. 06c</w:t>
            </w:r>
          </w:p>
        </w:tc>
        <w:tc>
          <w:tcPr>
            <w:tcW w:type="dxa" w:w="1440"/>
          </w:tcPr>
          <w:p>
            <w:pPr>
              <w:jc w:val="right"/>
            </w:pPr>
            <w:r>
              <w:rPr>
                <w:sz w:val="20"/>
              </w:rPr>
              <w:t>$423,000</w:t>
            </w:r>
          </w:p>
        </w:tc>
      </w:tr>
    </w:tbl>
    <w:p/>
    <w:p>
      <w:pPr>
        <w:pStyle w:val="Heading2"/>
        <w:spacing w:before="0" w:after="80"/>
      </w:pPr>
      <w:r>
        <w:rPr>
          <w:b/>
          <w:color w:val="2C559C"/>
          <w:sz w:val="28"/>
        </w:rPr>
        <w:t>Project Manager and Organization Qualifications</w:t>
      </w:r>
    </w:p>
    <w:p>
      <w:r>
        <w:rPr>
          <w:b/>
        </w:rPr>
        <w:t xml:space="preserve">Project Manager Name: </w:t>
      </w:r>
      <w:r>
        <w:t>Shannon Wettstein</w:t>
      </w:r>
    </w:p>
    <w:p>
      <w:r>
        <w:rPr>
          <w:b/>
        </w:rPr>
        <w:t xml:space="preserve">Job Title: </w:t>
      </w:r>
      <w:r>
        <w:t>District Manager</w:t>
      </w:r>
    </w:p>
    <w:p>
      <w:r>
        <w:rPr>
          <w:b/>
        </w:rPr>
        <w:t xml:space="preserve">Provide description of the project manager’s qualifications to manage the proposed project. </w:t>
        <w:br/>
      </w:r>
      <w:r>
        <w:t>Project manager is the district manager for the Morrison SWCD, which provides many programs and services that help protect the landscape of Morrison County. One of many programs is the Clean Water festival, which  facilitates environmental education programming to every 5th grade class in Morrison County.</w:t>
      </w:r>
    </w:p>
    <w:p>
      <w:r>
        <w:rPr>
          <w:b/>
        </w:rPr>
        <w:t xml:space="preserve">Organization: </w:t>
      </w:r>
      <w:r>
        <w:t>Morrison Soil and Water Conservation District</w:t>
      </w:r>
    </w:p>
    <w:p>
      <w:r>
        <w:rPr>
          <w:b/>
        </w:rPr>
        <w:t xml:space="preserve">Organization Description: </w:t>
        <w:br/>
      </w:r>
      <w:r>
        <w:t>Morrison Soil and Water Conservation District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SWCD Staff member</w:t>
            </w:r>
          </w:p>
        </w:tc>
        <w:tc>
          <w:tcPr>
            <w:tcW w:type="dxa" w:w="1440"/>
          </w:tcPr>
          <w:p>
            <w:r>
              <w:rPr>
                <w:sz w:val="20"/>
              </w:rPr>
            </w:r>
          </w:p>
        </w:tc>
        <w:tc>
          <w:tcPr>
            <w:tcW w:type="dxa" w:w="5472"/>
          </w:tcPr>
          <w:p>
            <w:r>
              <w:rPr>
                <w:sz w:val="20"/>
              </w:rPr>
              <w:t>Coordinate event and acquisition of prairie plants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Mille Lacs Indian Museum and Trading Post</w:t>
            </w:r>
          </w:p>
        </w:tc>
        <w:tc>
          <w:tcPr>
            <w:tcW w:type="dxa" w:w="1440"/>
          </w:tcPr>
          <w:p>
            <w:r>
              <w:rPr>
                <w:sz w:val="20"/>
              </w:rPr>
              <w:t>Sub award</w:t>
            </w:r>
          </w:p>
        </w:tc>
        <w:tc>
          <w:tcPr>
            <w:tcW w:type="dxa" w:w="5472"/>
          </w:tcPr>
          <w:p>
            <w:r>
              <w:rPr>
                <w:sz w:val="20"/>
              </w:rPr>
              <w:t>entity will be providing coordination services and presentations during the day of the event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48</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Prairie Plants</w:t>
            </w:r>
          </w:p>
        </w:tc>
        <w:tc>
          <w:tcPr>
            <w:tcW w:type="dxa" w:w="4032"/>
          </w:tcPr>
          <w:p>
            <w:r>
              <w:rPr>
                <w:sz w:val="20"/>
              </w:rPr>
              <w:t>A planting will occur as a component of the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Coordination with 4 Tribal schools</w:t>
            </w:r>
          </w:p>
        </w:tc>
        <w:tc>
          <w:tcPr>
            <w:tcW w:type="dxa" w:w="4032"/>
          </w:tcPr>
          <w:p>
            <w:r>
              <w:rPr>
                <w:sz w:val="20"/>
              </w:rPr>
              <w:t>Transportation and meals for student attending the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National Guard Bureau</w:t>
            </w:r>
          </w:p>
        </w:tc>
        <w:tc>
          <w:tcPr>
            <w:tcW w:type="dxa" w:w="6120"/>
          </w:tcPr>
          <w:p>
            <w:r>
              <w:rPr>
                <w:sz w:val="20"/>
              </w:rPr>
              <w:t>Planning capacity, outreach and marketing</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National Guard Bureau</w:t>
            </w:r>
          </w:p>
        </w:tc>
        <w:tc>
          <w:tcPr>
            <w:tcW w:type="dxa" w:w="6120"/>
          </w:tcPr>
          <w:p>
            <w:r>
              <w:rPr>
                <w:sz w:val="20"/>
              </w:rPr>
              <w:t>Public Affairs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Site Preparations</w:t>
            </w:r>
          </w:p>
        </w:tc>
        <w:tc>
          <w:tcPr>
            <w:tcW w:type="dxa" w:w="6120"/>
          </w:tcPr>
          <w:p>
            <w:r>
              <w:rPr>
                <w:sz w:val="20"/>
              </w:rPr>
              <w:t>Preparing sites for prairie plantings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Camp Ripley</w:t>
            </w:r>
          </w:p>
        </w:tc>
        <w:tc>
          <w:tcPr>
            <w:tcW w:type="dxa" w:w="1440"/>
          </w:tcPr>
          <w:p>
            <w:r>
              <w:rPr>
                <w:sz w:val="20"/>
              </w:rPr>
              <w:t>Morrison</w:t>
            </w:r>
          </w:p>
        </w:tc>
        <w:tc>
          <w:tcPr>
            <w:tcW w:type="dxa" w:w="3888"/>
          </w:tcPr>
          <w:p>
            <w:r>
              <w:rPr>
                <w:sz w:val="20"/>
              </w:rPr>
              <w:t>Native prairie</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State owned land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Management plans are kept within Camp Ripley's integrated Natural Resource Management Plan and available to the public</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BWSR guidelines will be used in selection of vegetation to be planted and all site preparation activities.</w:t>
      </w:r>
    </w:p>
    <w:p>
      <w:r>
        <w:rPr>
          <w:b/>
        </w:rPr>
        <w:t xml:space="preserve">4. Describe how the long-term maintenance and management needs of the parcel being restored with these funds will be met and financed into the future. </w:t>
        <w:br/>
      </w:r>
      <w:r>
        <w:t>Long term needs will be managed by Camp Ripley environmental office</w:t>
      </w:r>
    </w:p>
    <w:p>
      <w:r>
        <w:rPr>
          <w:b/>
        </w:rPr>
        <w:t xml:space="preserve">5. Describe how consideration will be given to contracting with Conservation Corps of Minnesota for any restoration activities. </w:t>
        <w:br/>
      </w:r>
      <w:r>
        <w:t>NA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SWCD staff and Camp Ripely environmental staff will conduct evaluations of prairie sites and coordinate adjustments to management as needed.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9bb76f28-830.pdf</w:t>
          </w:r>
        </w:hyperlink>
      </w:r>
    </w:p>
    <w:p>
      <w:pPr>
        <w:pStyle w:val="Heading4"/>
        <w:spacing w:before="40" w:after="20"/>
      </w:pPr>
      <w:r>
        <w:rPr>
          <w:b/>
          <w:i/>
          <w:color w:val="000000"/>
          <w:sz w:val="24"/>
        </w:rPr>
        <w:t>Alternate Text for Map</w:t>
      </w:r>
    </w:p>
    <w:p>
      <w:r>
        <w:t>The attachment is a flyer developed for the Planting for the Future event....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letter</w:t>
            </w:r>
          </w:p>
        </w:tc>
        <w:tc>
          <w:tcPr>
            <w:tcW w:type="dxa" w:w="5400"/>
          </w:tcPr>
          <w:p>
            <w:r>
              <w:rPr>
                <w:sz w:val="20"/>
              </w:rPr>
            </w:r>
            <w:r>
              <w:rPr>
                <w:color w:val="000000" w:themeColor="hyperlink"/>
                <w:sz w:val="20"/>
                <w:u w:val="single"/>
              </w:rPr>
              <w:hyperlink r:id="rId13">
                <w:r>
                  <w:rPr/>
                  <w:t>c4b0d601-892.pdf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bb76f28-830.pdf" TargetMode="External"/><Relationship Id="rId13" Type="http://schemas.openxmlformats.org/officeDocument/2006/relationships/hyperlink" Target="https://lccmrprojectmgmt.leg.mn/media/attachments/c4b0d601-8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Planting for the Future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