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2023-066</w:t>
      </w:r>
    </w:p>
    <w:p>
      <w:r>
        <w:rPr>
          <w:b/>
        </w:rPr>
        <w:t xml:space="preserve">Proposal Title: </w:t>
      </w:r>
      <w:r>
        <w:t>Removing Barriers to Carbon Market Entry</w:t>
      </w:r>
    </w:p>
    <w:p/>
    <w:p>
      <w:pPr>
        <w:pStyle w:val="Heading2"/>
        <w:spacing w:before="0" w:after="80"/>
      </w:pPr>
      <w:r>
        <w:rPr>
          <w:b/>
          <w:color w:val="2C559C"/>
          <w:sz w:val="28"/>
        </w:rPr>
        <w:t>Project Manager Information</w:t>
      </w:r>
    </w:p>
    <w:p>
      <w:r>
        <w:rPr>
          <w:b/>
        </w:rPr>
        <w:t xml:space="preserve">Name: </w:t>
      </w:r>
      <w:r>
        <w:t>John Zobel</w:t>
      </w:r>
    </w:p>
    <w:p>
      <w:r>
        <w:rPr>
          <w:b/>
        </w:rPr>
        <w:t xml:space="preserve">Organization: </w:t>
      </w:r>
      <w:r>
        <w:t>U of MN - College of Food, Agricultural and Natural Resource Sciences</w:t>
      </w:r>
    </w:p>
    <w:p>
      <w:r>
        <w:rPr>
          <w:b/>
        </w:rPr>
        <w:t xml:space="preserve">Office Telephone: </w:t>
      </w:r>
      <w:r>
        <w:t>(612) 624-7281</w:t>
      </w:r>
    </w:p>
    <w:p>
      <w:r>
        <w:rPr>
          <w:b/>
        </w:rPr>
        <w:t xml:space="preserve">Email: </w:t>
      </w:r>
      <w:r>
        <w:t>jzobel@umn.edu</w:t>
      </w:r>
    </w:p>
    <w:p/>
    <w:p>
      <w:pPr>
        <w:pStyle w:val="Heading2"/>
        <w:spacing w:before="0" w:after="80"/>
      </w:pPr>
      <w:r>
        <w:rPr>
          <w:b/>
          <w:color w:val="2C559C"/>
          <w:sz w:val="28"/>
        </w:rPr>
        <w:t>Project Basic Information</w:t>
      </w:r>
    </w:p>
    <w:p>
      <w:r>
        <w:rPr>
          <w:b/>
        </w:rPr>
        <w:t xml:space="preserve">Project Summary: </w:t>
      </w:r>
      <w:r>
        <w:t>Carbon markets incentivize carbon sequestration, but significant cost-barriers exist for landowner participation. Leveraging remotely sensed data, cost-effective fieldwork, and robust modeling will enable climate-smart activities that benefit all Minnesotans.</w:t>
      </w:r>
    </w:p>
    <w:p>
      <w:r>
        <w:rPr>
          <w:b/>
        </w:rPr>
        <w:t xml:space="preserve">Funds Requested: </w:t>
      </w:r>
      <w:r>
        <w:t>$590,000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buying and selling of carbon credits (carbon markets) represents a now viable and critical strategy to increase carbon sequestration.  Forest landowners are incentivized to manage their properties in order to capture atmospheric carbon above and beyond the normal rate for their land, including delayed harvesting or replacing aging trees with faster growing younger forests.  The excess carbon is then sold to companies to offset their carbon emissions.  The federal government is currently considering significant investment in carbon market related programs through action by the USDA Climate-Smart Agriculture and Forestry Partnership Initiative.  Emerging markets present attractive options for Minnesota landowners to enroll their property, leading to reductions in atmospheric carbon and a reliable income stream.  However, traditional markets require landowners to conduct detailed carbon inventories to establish carbon stock baselines.  Unfortunately, these exhaustive inventories are prohibitively expensive and time consuming for most landowners and present a barrier to market entry.  Alternatively, other markets emerged that seek to soften entry requirements, but these markets lack the transparency of the established markets.  Therefore, a crucial opportunity exists to remove the obstacles to entry while providing robust and credible estimates of carbon stocks.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Carbon markets typically involve expensive ground-based inventories to estimate carbon stock baselines. However, Minnesota has invested heavily in acquiring remotely sensed data, including high resolution light detection and ranging (Lidar) data statewide. State, federal, university, county, and ENRTF partners have funded Lidar acquisitions and subsequent modeling of forest carbon and other attributes, making Minnesota a leader among peer states. Leveraging this wealth of publicly available remotely sensed data, we propose to compare remotely derived carbon inventories with the traditional, field-based inventories. Remote sensing will never replace the need for fieldwork and ground truthing, but may significantly reduce the number of data points or field plots necessary to achieve the required precision to enter carbon markets. Rigorous testing across the spectrum of fully remote and fully field-based carbon inventories will quantify the reduction in necessary fieldwork to still achieve the precision targets. Based on proof-of-concept studies in the western states and northern Minnesota, results will quantify the significant reduction in necessary fieldwork, opening the doors for landowners to enter carbon markets at a fraction of the cost. A workflow and decision support tool will provide landowners with clear and reproducible steps to quantify their carbon stocks for entry into the markets.</w:t>
      </w:r>
    </w:p>
    <w:p>
      <w:pPr>
        <w:spacing w:after="60"/>
      </w:pPr>
      <w:r>
        <w:rPr>
          <w:b/>
        </w:rPr>
        <w:t xml:space="preserve">What are the specific project outcomes as they relate to the public purpose of protection, conservation, preservation, and enhancement of the state’s natural resources? </w:t>
      </w:r>
    </w:p>
    <w:p>
      <w:r>
        <w:t>Deliverables will result in increased participation in carbon markets and thus increased carbon sequestration throughout the state.  Lowering atmospheric carbon remains a critical state strategy for addressing climate change.  Positioning agency, tribal, and private landowners to capitalize on the rapidly increasing financial opportunities surrounding carbon markets will not only benefit forest landowners throughout the state, but directly all citizens through maintaining favorable climate conditions into the future.  Also, significantly decreasing inventory costs will create more achievable management alternatives for Minnesota landowners and will allow better balancing of multiple use objectives that serve the diverse needs of the entire state population.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baseline carbon stock information across all acres and all ownerships in Minnesota</w:t>
      </w:r>
    </w:p>
    <w:p>
      <w:r>
        <w:rPr>
          <w:b/>
        </w:rPr>
        <w:t xml:space="preserve">Activity Budget: </w:t>
      </w:r>
      <w:r>
        <w:t>$153,000</w:t>
      </w:r>
    </w:p>
    <w:p>
      <w:r>
        <w:rPr>
          <w:b/>
        </w:rPr>
        <w:t xml:space="preserve">Activity Description: </w:t>
        <w:br/>
      </w:r>
      <w:r>
        <w:t>Previous and ongoing ENRTF funded projects provided high quality Lidar data throughout the state and subsequent forest attribute models.  This project will extend this work by estimating and mapping carbon stocks for all acres and all ownerships across Minnesota.  Many maps have been made that display carbon stocks across an area of interest, but few provide robust measures of uncertainty along with those estimates.  California, Oregon, and Washington have recently funded similar wall-to-wall data layer creation using advanced statistical techniques to quantify error (Bayesian hierarchical modeling) that has proven revolutionary in advancing confidence around remotely sensed measurements.  This work would be applied to Minnesota using the wealth of publicly available Lidar, satellite imagery, existing maps, forest inventory plots, and other information relevant to estimating carbon stocks.  The result will be detailed spatial carbon estimates for every acre in Minnesota, coupled with measures of the reliability of those estimates using an innovative technique not yet explored in the region.  Not only will the derived carbon layer remain publicly available on the Minnesota Natural Resource Atlas, but will form a critical component of the remaining activities of this proposal.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all available statewide ground and aerial/Lidar data, as well as existing carbon information</w:t>
            </w:r>
          </w:p>
        </w:tc>
        <w:tc>
          <w:tcPr>
            <w:tcW w:type="dxa" w:w="2160"/>
          </w:tcPr>
          <w:p>
            <w:pPr>
              <w:jc w:val="right"/>
            </w:pPr>
            <w:r>
              <w:rPr>
                <w:sz w:val="20"/>
              </w:rPr>
              <w:t>April 30, 2024</w:t>
            </w:r>
          </w:p>
        </w:tc>
      </w:tr>
      <w:tr>
        <w:tc>
          <w:tcPr>
            <w:tcW w:type="dxa" w:w="8640"/>
          </w:tcPr>
          <w:p>
            <w:r>
              <w:rPr>
                <w:sz w:val="20"/>
              </w:rPr>
              <w:t>Develop the Bayesian hierarchical model to estimate wall-to-wall carbon stocks across Minnesota</w:t>
            </w:r>
          </w:p>
        </w:tc>
        <w:tc>
          <w:tcPr>
            <w:tcW w:type="dxa" w:w="2160"/>
          </w:tcPr>
          <w:p>
            <w:pPr>
              <w:jc w:val="right"/>
            </w:pPr>
            <w:r>
              <w:rPr>
                <w:sz w:val="20"/>
              </w:rPr>
              <w:t>December 31, 2024</w:t>
            </w:r>
          </w:p>
        </w:tc>
      </w:tr>
      <w:tr>
        <w:tc>
          <w:tcPr>
            <w:tcW w:type="dxa" w:w="8640"/>
          </w:tcPr>
          <w:p>
            <w:r>
              <w:rPr>
                <w:sz w:val="20"/>
              </w:rPr>
              <w:t>Validate the model through cross-validation and Activity 2 data</w:t>
            </w:r>
          </w:p>
        </w:tc>
        <w:tc>
          <w:tcPr>
            <w:tcW w:type="dxa" w:w="2160"/>
          </w:tcPr>
          <w:p>
            <w:pPr>
              <w:jc w:val="right"/>
            </w:pPr>
            <w:r>
              <w:rPr>
                <w:sz w:val="20"/>
              </w:rPr>
              <w:t>June 30, 2025</w:t>
            </w:r>
          </w:p>
        </w:tc>
      </w:tr>
    </w:tbl>
    <w:p/>
    <w:p>
      <w:pPr>
        <w:pStyle w:val="Heading3"/>
        <w:spacing w:after="60"/>
      </w:pPr>
      <w:r>
        <w:rPr>
          <w:b/>
          <w:color w:val="254885"/>
          <w:sz w:val="26"/>
        </w:rPr>
        <w:t>Activity 2: Conduct full-scale carbon market inventories on test locations and compare to the remote approach</w:t>
      </w:r>
    </w:p>
    <w:p>
      <w:r>
        <w:rPr>
          <w:b/>
        </w:rPr>
        <w:t xml:space="preserve">Activity Budget: </w:t>
      </w:r>
      <w:r>
        <w:t>$375,000</w:t>
      </w:r>
    </w:p>
    <w:p>
      <w:r>
        <w:rPr>
          <w:b/>
        </w:rPr>
        <w:t xml:space="preserve">Activity Description: </w:t>
        <w:br/>
      </w:r>
      <w:r>
        <w:t>Leveraging remotely sensed data is critical to provide high resolution estimates of carbon across the state, but remote data alone does not generate the precision necessary to enter carbon markets.  To determine the essential level of fieldwork, a complete carbon inventory will be conducted on four test locations in different regions of the state.  These include UMN operated Cloquet Forestry Center and Hubachek Wilderness Research Center in northern Minnesota.  We will also partner with the Leech Lake Band of the Ojibwe to inventory all their forestland in the central part of the state, as well as portions of the DNR managed Richard J. Dorer Memorial Hardwood State Forest in southeast Minnesota.  Results from these traditional inventories will represent the current effort necessary to enter the carbon markets, while the carbon layer from Activity 1 represents a coarse alternative.  Data simulations will then sequentially reduce the amount of available data from the fieldwork until the minimum combination of remote data and field data provides the necessary precision to meet carbon market standards.  The sample size required will vary depending on forest conditions and regions of the state, so a range of inventory sizes will be identified for diverse applications.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carbon inventories on four test locations throughout Minnesota</w:t>
            </w:r>
          </w:p>
        </w:tc>
        <w:tc>
          <w:tcPr>
            <w:tcW w:type="dxa" w:w="2160"/>
          </w:tcPr>
          <w:p>
            <w:pPr>
              <w:jc w:val="right"/>
            </w:pPr>
            <w:r>
              <w:rPr>
                <w:sz w:val="20"/>
              </w:rPr>
              <w:t>September 30, 2024</w:t>
            </w:r>
          </w:p>
        </w:tc>
      </w:tr>
      <w:tr>
        <w:tc>
          <w:tcPr>
            <w:tcW w:type="dxa" w:w="8640"/>
          </w:tcPr>
          <w:p>
            <w:r>
              <w:rPr>
                <w:sz w:val="20"/>
              </w:rPr>
              <w:t>Compile and edit the data for use with the carbon stock layer from Activity 1</w:t>
            </w:r>
          </w:p>
        </w:tc>
        <w:tc>
          <w:tcPr>
            <w:tcW w:type="dxa" w:w="2160"/>
          </w:tcPr>
          <w:p>
            <w:pPr>
              <w:jc w:val="right"/>
            </w:pPr>
            <w:r>
              <w:rPr>
                <w:sz w:val="20"/>
              </w:rPr>
              <w:t>June 30, 2025</w:t>
            </w:r>
          </w:p>
        </w:tc>
      </w:tr>
      <w:tr>
        <w:tc>
          <w:tcPr>
            <w:tcW w:type="dxa" w:w="8640"/>
          </w:tcPr>
          <w:p>
            <w:r>
              <w:rPr>
                <w:sz w:val="20"/>
              </w:rPr>
              <w:t>Run simulations to determine necessary fieldwork to achieve carbon market precision requirements</w:t>
            </w:r>
          </w:p>
        </w:tc>
        <w:tc>
          <w:tcPr>
            <w:tcW w:type="dxa" w:w="2160"/>
          </w:tcPr>
          <w:p>
            <w:pPr>
              <w:jc w:val="right"/>
            </w:pPr>
            <w:r>
              <w:rPr>
                <w:sz w:val="20"/>
              </w:rPr>
              <w:t>December 31, 2025</w:t>
            </w:r>
          </w:p>
        </w:tc>
      </w:tr>
    </w:tbl>
    <w:p/>
    <w:p>
      <w:pPr>
        <w:pStyle w:val="Heading3"/>
        <w:spacing w:after="60"/>
      </w:pPr>
      <w:r>
        <w:rPr>
          <w:b/>
          <w:color w:val="254885"/>
          <w:sz w:val="26"/>
        </w:rPr>
        <w:t>Activity 3: Develop a reproducible and validated workflow for reasonable entry of Minnesota landowners into carbon markets</w:t>
      </w:r>
    </w:p>
    <w:p>
      <w:r>
        <w:rPr>
          <w:b/>
        </w:rPr>
        <w:t xml:space="preserve">Activity Budget: </w:t>
      </w:r>
      <w:r>
        <w:t>$62,000</w:t>
      </w:r>
    </w:p>
    <w:p>
      <w:r>
        <w:rPr>
          <w:b/>
        </w:rPr>
        <w:t xml:space="preserve">Activity Description: </w:t>
        <w:br/>
      </w:r>
      <w:r>
        <w:t>The carbon layer from Activity 1 will remain publicly available for use by all forest landowners across Minnesota.  We will develop a clear and straightforward workflow to allow landowners or consultants to determine the necessary fieldwork to couple with the remote estimates to produce a credible carbon inventory that meets market standards for accuracy and precision. Private landowners, agencies, and forestry professionals will have access to data, instructions, and a decision support tool to rapidly implement carbon inventories at significantly reduced costs.  The carbon layer and workflow will be housed or linked through the ENRTF funded Minnesota Natural Resource Atlas and UMN resources.  These hosts are curated and maintained by the Natural Resources Research Institute and UMN Department of Forest Resources through perpetuity, with the latter providing regular updates as needed.  Use of the workflow and tool will be demonstrated to landowners through in-person activities or webinars facilitated by the Sustainable Forests Education Cooperative.  By removing the financial barrier and limiting the effort required to enter carbon markets, this should position Minnesota to increase lands enrolled in carbon markets and continue to increase carbon sequestration and other climate-smart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Upload the new carbon stock layer to the Minnesota Natural Resource Atlas for public use</w:t>
            </w:r>
          </w:p>
        </w:tc>
        <w:tc>
          <w:tcPr>
            <w:tcW w:type="dxa" w:w="2160"/>
          </w:tcPr>
          <w:p>
            <w:pPr>
              <w:jc w:val="right"/>
            </w:pPr>
            <w:r>
              <w:rPr>
                <w:sz w:val="20"/>
              </w:rPr>
              <w:t>July 31, 2025</w:t>
            </w:r>
          </w:p>
        </w:tc>
      </w:tr>
      <w:tr>
        <w:tc>
          <w:tcPr>
            <w:tcW w:type="dxa" w:w="8640"/>
          </w:tcPr>
          <w:p>
            <w:r>
              <w:rPr>
                <w:sz w:val="20"/>
              </w:rPr>
              <w:t>Develop and publish the workflow and decision support tool on University of Minnesota servers</w:t>
            </w:r>
          </w:p>
        </w:tc>
        <w:tc>
          <w:tcPr>
            <w:tcW w:type="dxa" w:w="2160"/>
          </w:tcPr>
          <w:p>
            <w:pPr>
              <w:jc w:val="right"/>
            </w:pPr>
            <w:r>
              <w:rPr>
                <w:sz w:val="20"/>
              </w:rPr>
              <w:t>March 31, 2026</w:t>
            </w:r>
          </w:p>
        </w:tc>
      </w:tr>
      <w:tr>
        <w:tc>
          <w:tcPr>
            <w:tcW w:type="dxa" w:w="8640"/>
          </w:tcPr>
          <w:p>
            <w:r>
              <w:rPr>
                <w:sz w:val="20"/>
              </w:rPr>
              <w:t>Conduct in-person seminars or webinars to demonstrate the importance and reproducibility for carbon market entry</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Chad Babcock</w:t>
            </w:r>
          </w:p>
        </w:tc>
        <w:tc>
          <w:tcPr>
            <w:tcW w:type="dxa" w:w="1440"/>
          </w:tcPr>
          <w:p>
            <w:r>
              <w:rPr>
                <w:sz w:val="20"/>
              </w:rPr>
              <w:t>University of Minnesota</w:t>
            </w:r>
          </w:p>
        </w:tc>
        <w:tc>
          <w:tcPr>
            <w:tcW w:type="dxa" w:w="6840"/>
          </w:tcPr>
          <w:p>
            <w:r>
              <w:rPr>
                <w:sz w:val="20"/>
              </w:rPr>
              <w:t>Co-Principle Investigator (Co-PI)</w:t>
            </w:r>
          </w:p>
        </w:tc>
        <w:tc>
          <w:tcPr>
            <w:tcW w:type="dxa" w:w="1080"/>
          </w:tcPr>
          <w:p>
            <w:r>
              <w:rPr>
                <w:sz w:val="20"/>
              </w:rPr>
              <w:t>Yes</w:t>
            </w:r>
          </w:p>
        </w:tc>
      </w:tr>
      <w:tr>
        <w:tc>
          <w:tcPr>
            <w:tcW w:type="dxa" w:w="1440"/>
          </w:tcPr>
          <w:p>
            <w:r>
              <w:rPr>
                <w:sz w:val="20"/>
              </w:rPr>
              <w:t>Joseph Knight</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Jennifer Corcoran</w:t>
            </w:r>
          </w:p>
        </w:tc>
        <w:tc>
          <w:tcPr>
            <w:tcW w:type="dxa" w:w="1440"/>
          </w:tcPr>
          <w:p>
            <w:r>
              <w:rPr>
                <w:sz w:val="20"/>
              </w:rPr>
              <w:t>Minnesota Department of Natural Resources</w:t>
            </w:r>
          </w:p>
        </w:tc>
        <w:tc>
          <w:tcPr>
            <w:tcW w:type="dxa" w:w="6840"/>
          </w:tcPr>
          <w:p>
            <w:r>
              <w:rPr>
                <w:sz w:val="20"/>
              </w:rPr>
              <w:t>Co-PI</w:t>
            </w:r>
          </w:p>
        </w:tc>
        <w:tc>
          <w:tcPr>
            <w:tcW w:type="dxa" w:w="1080"/>
          </w:tcPr>
          <w:p>
            <w:r>
              <w:rPr>
                <w:sz w:val="20"/>
              </w:rPr>
              <w:t>Yes</w:t>
            </w:r>
          </w:p>
        </w:tc>
      </w:tr>
      <w:tr>
        <w:tc>
          <w:tcPr>
            <w:tcW w:type="dxa" w:w="1440"/>
          </w:tcPr>
          <w:p>
            <w:r>
              <w:rPr>
                <w:sz w:val="20"/>
              </w:rPr>
              <w:t>Scott Hillard</w:t>
            </w:r>
          </w:p>
        </w:tc>
        <w:tc>
          <w:tcPr>
            <w:tcW w:type="dxa" w:w="1440"/>
          </w:tcPr>
          <w:p>
            <w:r>
              <w:rPr>
                <w:sz w:val="20"/>
              </w:rPr>
              <w:t>Minnesota Department of Natural Resources</w:t>
            </w:r>
          </w:p>
        </w:tc>
        <w:tc>
          <w:tcPr>
            <w:tcW w:type="dxa" w:w="6840"/>
          </w:tcPr>
          <w:p>
            <w:r>
              <w:rPr>
                <w:sz w:val="20"/>
              </w:rPr>
              <w:t>Co-PI</w:t>
            </w:r>
          </w:p>
        </w:tc>
        <w:tc>
          <w:tcPr>
            <w:tcW w:type="dxa" w:w="1080"/>
          </w:tcPr>
          <w:p>
            <w:r>
              <w:rPr>
                <w:sz w:val="20"/>
              </w:rPr>
              <w:t>Yes</w:t>
            </w:r>
          </w:p>
        </w:tc>
      </w:tr>
      <w:tr>
        <w:tc>
          <w:tcPr>
            <w:tcW w:type="dxa" w:w="1440"/>
          </w:tcPr>
          <w:p>
            <w:r>
              <w:rPr>
                <w:sz w:val="20"/>
              </w:rPr>
              <w:t>David Wilson</w:t>
            </w:r>
          </w:p>
        </w:tc>
        <w:tc>
          <w:tcPr>
            <w:tcW w:type="dxa" w:w="1440"/>
          </w:tcPr>
          <w:p>
            <w:r>
              <w:rPr>
                <w:sz w:val="20"/>
              </w:rPr>
              <w:t>Minnesota Department of Natural Resources</w:t>
            </w:r>
          </w:p>
        </w:tc>
        <w:tc>
          <w:tcPr>
            <w:tcW w:type="dxa" w:w="6840"/>
          </w:tcPr>
          <w:p>
            <w:r>
              <w:rPr>
                <w:sz w:val="20"/>
              </w:rPr>
              <w:t>Co-PI</w:t>
            </w:r>
          </w:p>
        </w:tc>
        <w:tc>
          <w:tcPr>
            <w:tcW w:type="dxa" w:w="1080"/>
          </w:tcPr>
          <w:p>
            <w:r>
              <w:rPr>
                <w:sz w:val="20"/>
              </w:rPr>
              <w:t>Yes</w:t>
            </w:r>
          </w:p>
        </w:tc>
      </w:tr>
      <w:tr>
        <w:tc>
          <w:tcPr>
            <w:tcW w:type="dxa" w:w="1440"/>
          </w:tcPr>
          <w:p>
            <w:r>
              <w:rPr>
                <w:sz w:val="20"/>
              </w:rPr>
              <w:t>John Du Plissis</w:t>
            </w:r>
          </w:p>
        </w:tc>
        <w:tc>
          <w:tcPr>
            <w:tcW w:type="dxa" w:w="1440"/>
          </w:tcPr>
          <w:p>
            <w:r>
              <w:rPr>
                <w:sz w:val="20"/>
              </w:rPr>
              <w:t>Natural Resources Research Institute</w:t>
            </w:r>
          </w:p>
        </w:tc>
        <w:tc>
          <w:tcPr>
            <w:tcW w:type="dxa" w:w="6840"/>
          </w:tcPr>
          <w:p>
            <w:r>
              <w:rPr>
                <w:sz w:val="20"/>
              </w:rPr>
              <w:t>Co-PI</w:t>
            </w:r>
          </w:p>
        </w:tc>
        <w:tc>
          <w:tcPr>
            <w:tcW w:type="dxa" w:w="1080"/>
          </w:tcPr>
          <w:p>
            <w:r>
              <w:rPr>
                <w:sz w:val="20"/>
              </w:rPr>
              <w:t>Yes</w:t>
            </w:r>
          </w:p>
        </w:tc>
      </w:tr>
      <w:tr>
        <w:tc>
          <w:tcPr>
            <w:tcW w:type="dxa" w:w="1440"/>
          </w:tcPr>
          <w:p>
            <w:r>
              <w:rPr>
                <w:sz w:val="20"/>
              </w:rPr>
              <w:t>Christopher Wright</w:t>
            </w:r>
          </w:p>
        </w:tc>
        <w:tc>
          <w:tcPr>
            <w:tcW w:type="dxa" w:w="1440"/>
          </w:tcPr>
          <w:p>
            <w:r>
              <w:rPr>
                <w:sz w:val="20"/>
              </w:rPr>
              <w:t>Natural Resources Research Institute</w:t>
            </w:r>
          </w:p>
        </w:tc>
        <w:tc>
          <w:tcPr>
            <w:tcW w:type="dxa" w:w="6840"/>
          </w:tcPr>
          <w:p>
            <w:r>
              <w:rPr>
                <w:sz w:val="20"/>
              </w:rPr>
              <w:t>Co-PI</w:t>
            </w:r>
          </w:p>
        </w:tc>
        <w:tc>
          <w:tcPr>
            <w:tcW w:type="dxa" w:w="1080"/>
          </w:tcPr>
          <w:p>
            <w:r>
              <w:rPr>
                <w:sz w:val="20"/>
              </w:rPr>
              <w:t>Yes</w:t>
            </w:r>
          </w:p>
        </w:tc>
      </w:tr>
      <w:tr>
        <w:tc>
          <w:tcPr>
            <w:tcW w:type="dxa" w:w="1440"/>
          </w:tcPr>
          <w:p>
            <w:r>
              <w:rPr>
                <w:sz w:val="20"/>
              </w:rPr>
              <w:t>Eli Sagor</w:t>
            </w:r>
          </w:p>
        </w:tc>
        <w:tc>
          <w:tcPr>
            <w:tcW w:type="dxa" w:w="1440"/>
          </w:tcPr>
          <w:p>
            <w:r>
              <w:rPr>
                <w:sz w:val="20"/>
              </w:rPr>
              <w:t>Sustainable Forests Education Cooperative</w:t>
            </w:r>
          </w:p>
        </w:tc>
        <w:tc>
          <w:tcPr>
            <w:tcW w:type="dxa" w:w="6840"/>
          </w:tcPr>
          <w:p>
            <w:r>
              <w:rPr>
                <w:sz w:val="20"/>
              </w:rPr>
              <w:t>Educator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results will form a comprehensive workflow and decision support tool that enables exact replication by landowners or forestry consultants.  This will include a publicly available data layer providing detailed statewide estimates of baseline carbon stocks derived from robust modeling and uncertainty estimates.  All data products and layers will be hosted on the Minnesota Natural Resource Atlas, an ENRTF funded clearinghouse for traditional and spatial natural resource data and products.  All workflow and decision support tools provided to landowners will be housed on University of Minnesota (UMN) servers, with periodic updates funded through the UMN or external partners.</w:t>
      </w:r>
    </w:p>
    <w:p>
      <w:pPr>
        <w:pStyle w:val="Heading2"/>
        <w:spacing w:before="0" w:after="80"/>
      </w:pPr>
      <w:r>
        <w:rPr>
          <w:b/>
          <w:color w:val="2C559C"/>
          <w:sz w:val="28"/>
        </w:rPr>
        <w:t>Project Manager and Organization Qualifications</w:t>
      </w:r>
    </w:p>
    <w:p>
      <w:r>
        <w:rPr>
          <w:b/>
        </w:rPr>
        <w:t xml:space="preserve">Project Manager Name: </w:t>
      </w:r>
      <w:r>
        <w:t>John Zobel</w:t>
      </w:r>
    </w:p>
    <w:p>
      <w:r>
        <w:rPr>
          <w:b/>
        </w:rPr>
        <w:t xml:space="preserve">Job Title: </w:t>
      </w:r>
      <w:r>
        <w:t>Assistant Professor</w:t>
      </w:r>
    </w:p>
    <w:p>
      <w:r>
        <w:rPr>
          <w:b/>
        </w:rPr>
        <w:t xml:space="preserve">Provide description of the project manager’s qualifications to manage the proposed project. </w:t>
        <w:br/>
      </w:r>
      <w:r>
        <w:t>Dr. John Zobel works in the area of forest/natural resources biometrics, measurements, and modeling, including inventory and resource assessment.  His research includes estimating carbon emissions due to forest disturbance, general growth and yield modeling, assessment of forest dependent wildlife habitat, and statistical support for projects involving black bear behavior, bat population trends due to white-nose syndrome, recovery of forest after emerald ash borer, and bird habitat relationships.  He has expertise in permanent and temporary sampling designs to acquire natural resource data.  Dr. Zobel has lead or been part of teams that have proposals funded or under review for over $20,500,000 while advising five graduate students, supervising two post-doctoral associates, and authoring or co-authoring over 25 peer-reviewed publications.</w:t>
      </w:r>
    </w:p>
    <w:p>
      <w:r>
        <w:rPr>
          <w:b/>
        </w:rPr>
        <w:t xml:space="preserve">Organization: </w:t>
      </w:r>
      <w:r>
        <w:t>U of MN - College of Food, Agricultural and Natural Resource Sciences</w:t>
      </w:r>
    </w:p>
    <w:p>
      <w:r>
        <w:rPr>
          <w:b/>
        </w:rPr>
        <w:t xml:space="preserve">Organization Description: </w:t>
        <w:br/>
      </w:r>
      <w:r>
        <w:t>For over 100 years, the Department of Forest Resources, University of Minnesota has been a leader in fundamental and applied research in natural resources within Minnesota, the Lake States, nationally, and internationally.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 Zobel/Summer Salary</w:t>
            </w:r>
          </w:p>
        </w:tc>
        <w:tc>
          <w:tcPr>
            <w:tcW w:type="dxa" w:w="1440"/>
          </w:tcPr>
          <w:p>
            <w:r>
              <w:rPr>
                <w:sz w:val="20"/>
              </w:rPr>
            </w:r>
          </w:p>
        </w:tc>
        <w:tc>
          <w:tcPr>
            <w:tcW w:type="dxa" w:w="5472"/>
          </w:tcPr>
          <w:p>
            <w:r>
              <w:rPr>
                <w:sz w:val="20"/>
              </w:rPr>
              <w:t>Project Lead</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$33,000</w:t>
            </w:r>
          </w:p>
        </w:tc>
      </w:tr>
      <w:tr>
        <w:tc>
          <w:tcPr>
            <w:tcW w:type="dxa" w:w="864"/>
          </w:tcPr>
          <w:p>
            <w:r>
              <w:rPr>
                <w:sz w:val="20"/>
              </w:rPr>
              <w:t>C. Babcock/Summer Salary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$27,003</w:t>
            </w:r>
          </w:p>
        </w:tc>
      </w:tr>
      <w:tr>
        <w:tc>
          <w:tcPr>
            <w:tcW w:type="dxa" w:w="864"/>
          </w:tcPr>
          <w:p>
            <w:r>
              <w:rPr>
                <w:sz w:val="20"/>
              </w:rPr>
              <w:t>J. Knight/Summer Salary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$4,014</w:t>
            </w:r>
          </w:p>
        </w:tc>
      </w:tr>
      <w:tr>
        <w:tc>
          <w:tcPr>
            <w:tcW w:type="dxa" w:w="864"/>
          </w:tcPr>
          <w:p>
            <w:r>
              <w:rPr>
                <w:sz w:val="20"/>
              </w:rPr>
              <w:t>J. Du Plissis/Summer Salary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$4,661</w:t>
            </w:r>
          </w:p>
        </w:tc>
      </w:tr>
      <w:tr>
        <w:tc>
          <w:tcPr>
            <w:tcW w:type="dxa" w:w="864"/>
          </w:tcPr>
          <w:p>
            <w:r>
              <w:rPr>
                <w:sz w:val="20"/>
              </w:rPr>
              <w:t>C. Wright/Summer Salary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$3,061</w:t>
            </w:r>
          </w:p>
        </w:tc>
      </w:tr>
      <w:tr>
        <w:tc>
          <w:tcPr>
            <w:tcW w:type="dxa" w:w="864"/>
          </w:tcPr>
          <w:p>
            <w:r>
              <w:rPr>
                <w:sz w:val="20"/>
              </w:rPr>
              <w:t>Researcher 5</w:t>
            </w:r>
          </w:p>
        </w:tc>
        <w:tc>
          <w:tcPr>
            <w:tcW w:type="dxa" w:w="1440"/>
          </w:tcPr>
          <w:p>
            <w:r>
              <w:rPr>
                <w:sz w:val="20"/>
              </w:rPr>
            </w:r>
          </w:p>
        </w:tc>
        <w:tc>
          <w:tcPr>
            <w:tcW w:type="dxa" w:w="5472"/>
          </w:tcPr>
          <w:p>
            <w:r>
              <w:rPr>
                <w:sz w:val="20"/>
              </w:rPr>
              <w:t>Field data collection and analysis lead</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$152,250</w:t>
            </w:r>
          </w:p>
        </w:tc>
      </w:tr>
      <w:tr>
        <w:tc>
          <w:tcPr>
            <w:tcW w:type="dxa" w:w="864"/>
          </w:tcPr>
          <w:p>
            <w:r>
              <w:rPr>
                <w:sz w:val="20"/>
              </w:rPr>
              <w:t>Graduate Student</w:t>
            </w:r>
          </w:p>
        </w:tc>
        <w:tc>
          <w:tcPr>
            <w:tcW w:type="dxa" w:w="1440"/>
          </w:tcPr>
          <w:p>
            <w:r>
              <w:rPr>
                <w:sz w:val="20"/>
              </w:rPr>
            </w:r>
          </w:p>
        </w:tc>
        <w:tc>
          <w:tcPr>
            <w:tcW w:type="dxa" w:w="5472"/>
          </w:tcPr>
          <w:p>
            <w:r>
              <w:rPr>
                <w:sz w:val="20"/>
              </w:rPr>
              <w:t>Lidar and modeling lead</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3</w:t>
            </w:r>
          </w:p>
        </w:tc>
        <w:tc>
          <w:tcPr>
            <w:tcW w:type="dxa" w:w="360"/>
          </w:tcPr>
          <w:p>
            <w:r>
              <w:rPr>
                <w:sz w:val="20"/>
              </w:rPr>
            </w:r>
          </w:p>
        </w:tc>
        <w:tc>
          <w:tcPr>
            <w:tcW w:type="dxa" w:w="1152"/>
          </w:tcPr>
          <w:p>
            <w:pPr>
              <w:jc w:val="right"/>
            </w:pPr>
            <w:r>
              <w:rPr>
                <w:sz w:val="20"/>
              </w:rPr>
              <w:t>$92,985</w:t>
            </w:r>
          </w:p>
        </w:tc>
      </w:tr>
      <w:tr>
        <w:tc>
          <w:tcPr>
            <w:tcW w:type="dxa" w:w="864"/>
          </w:tcPr>
          <w:p>
            <w:r>
              <w:rPr>
                <w:sz w:val="20"/>
              </w:rPr>
              <w:t>Undergraduate Student Field Techs</w:t>
            </w:r>
          </w:p>
        </w:tc>
        <w:tc>
          <w:tcPr>
            <w:tcW w:type="dxa" w:w="1440"/>
          </w:tcPr>
          <w:p>
            <w:r>
              <w:rPr>
                <w:sz w:val="20"/>
              </w:rPr>
            </w:r>
          </w:p>
        </w:tc>
        <w:tc>
          <w:tcPr>
            <w:tcW w:type="dxa" w:w="5472"/>
          </w:tcPr>
          <w:p>
            <w:r>
              <w:rPr>
                <w:sz w:val="20"/>
              </w:rPr>
              <w:t>Assisting in data collection for Activity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$151,120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$468,094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Natural Resources</w:t>
            </w:r>
          </w:p>
        </w:tc>
        <w:tc>
          <w:tcPr>
            <w:tcW w:type="dxa" w:w="1440"/>
          </w:tcPr>
          <w:p>
            <w:r>
              <w:rPr>
                <w:sz w:val="20"/>
              </w:rPr>
              <w:t>Sub award</w:t>
            </w:r>
          </w:p>
        </w:tc>
        <w:tc>
          <w:tcPr>
            <w:tcW w:type="dxa" w:w="5472"/>
          </w:tcPr>
          <w:p>
            <w:r>
              <w:rPr>
                <w:sz w:val="20"/>
              </w:rPr>
              <w:t>Provide critical consultation on methods, deliverables, and dissemination of research to ensure maximum benefit to the pertinent stakeholders and general public.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Sampling Equipment (7 logger's tapes, 7 clinometers, 7 compasses)</w:t>
            </w:r>
          </w:p>
        </w:tc>
        <w:tc>
          <w:tcPr>
            <w:tcW w:type="dxa" w:w="4032"/>
          </w:tcPr>
          <w:p>
            <w:r>
              <w:rPr>
                <w:sz w:val="20"/>
              </w:rPr>
              <w:t>Sampling equipment necessary to collect data in support of Activities 2 and 3. Tapes $76 ea., clinos $200 ea., and compass $90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$2,562</w:t>
            </w:r>
          </w:p>
        </w:tc>
      </w:tr>
      <w:tr>
        <w:tc>
          <w:tcPr>
            <w:tcW w:type="dxa" w:w="864"/>
          </w:tcPr>
          <w:p>
            <w:r>
              <w:rPr>
                <w:sz w:val="20"/>
              </w:rPr>
            </w:r>
          </w:p>
        </w:tc>
        <w:tc>
          <w:tcPr>
            <w:tcW w:type="dxa" w:w="1440"/>
          </w:tcPr>
          <w:p>
            <w:r>
              <w:rPr>
                <w:sz w:val="20"/>
              </w:rPr>
              <w:t>Equipment</w:t>
            </w:r>
          </w:p>
        </w:tc>
        <w:tc>
          <w:tcPr>
            <w:tcW w:type="dxa" w:w="5472"/>
          </w:tcPr>
          <w:p>
            <w:r>
              <w:rPr>
                <w:sz w:val="20"/>
              </w:rPr>
              <w:t>1 LaserTech 200x</w:t>
            </w:r>
          </w:p>
        </w:tc>
        <w:tc>
          <w:tcPr>
            <w:tcW w:type="dxa" w:w="4032"/>
          </w:tcPr>
          <w:p>
            <w:r>
              <w:rPr>
                <w:sz w:val="20"/>
              </w:rPr>
              <w:t>Accurately and precisely collect tree heights and distances (a second one has already be acquired)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2 tablets</w:t>
            </w:r>
          </w:p>
        </w:tc>
        <w:tc>
          <w:tcPr>
            <w:tcW w:type="dxa" w:w="4032"/>
          </w:tcPr>
          <w:p>
            <w:r>
              <w:rPr>
                <w:sz w:val="20"/>
              </w:rPr>
              <w:t>Electronically collect data and include built-in error checking ($1,252 ea., including field protection)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$2,504</w:t>
            </w:r>
          </w:p>
        </w:tc>
      </w:tr>
      <w:tr>
        <w:tc>
          <w:tcPr>
            <w:tcW w:type="dxa" w:w="864"/>
          </w:tcPr>
          <w:p>
            <w:r>
              <w:rPr>
                <w:sz w:val="20"/>
              </w:rPr>
            </w:r>
          </w:p>
        </w:tc>
        <w:tc>
          <w:tcPr>
            <w:tcW w:type="dxa" w:w="1440"/>
          </w:tcPr>
          <w:p>
            <w:r>
              <w:rPr>
                <w:sz w:val="20"/>
              </w:rPr>
              <w:t>Tools and Supplies</w:t>
            </w:r>
          </w:p>
        </w:tc>
        <w:tc>
          <w:tcPr>
            <w:tcW w:type="dxa" w:w="5472"/>
          </w:tcPr>
          <w:p>
            <w:r>
              <w:rPr>
                <w:sz w:val="20"/>
              </w:rPr>
              <w:t>Safety equipment (7 sets)</w:t>
            </w:r>
          </w:p>
        </w:tc>
        <w:tc>
          <w:tcPr>
            <w:tcW w:type="dxa" w:w="4032"/>
          </w:tcPr>
          <w:p>
            <w:r>
              <w:rPr>
                <w:sz w:val="20"/>
              </w:rPr>
              <w:t>Personal protective equipment (hard hats, vests, gloves, glasses,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w:t>
            </w:r>
          </w:p>
        </w:tc>
      </w:tr>
      <w:tr>
        <w:tc>
          <w:tcPr>
            <w:tcW w:type="dxa" w:w="864"/>
          </w:tcPr>
          <w:p>
            <w:r>
              <w:rPr>
                <w:sz w:val="20"/>
              </w:rPr>
            </w:r>
          </w:p>
        </w:tc>
        <w:tc>
          <w:tcPr>
            <w:tcW w:type="dxa" w:w="1440"/>
          </w:tcPr>
          <w:p>
            <w:r>
              <w:rPr>
                <w:sz w:val="20"/>
              </w:rPr>
              <w:t>Tools and Supplies</w:t>
            </w:r>
          </w:p>
        </w:tc>
        <w:tc>
          <w:tcPr>
            <w:tcW w:type="dxa" w:w="5472"/>
          </w:tcPr>
          <w:p>
            <w:r>
              <w:rPr>
                <w:sz w:val="20"/>
              </w:rPr>
              <w:t>Comsumable Sampling Supplies</w:t>
            </w:r>
          </w:p>
        </w:tc>
        <w:tc>
          <w:tcPr>
            <w:tcW w:type="dxa" w:w="4032"/>
          </w:tcPr>
          <w:p>
            <w:r>
              <w:rPr>
                <w:sz w:val="20"/>
              </w:rPr>
              <w:t>Write-in-the-rain paper and other consumable products to support data collection in Activies 2 and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$8,106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2 survey-grade GPS units</w:t>
            </w:r>
          </w:p>
        </w:tc>
        <w:tc>
          <w:tcPr>
            <w:tcW w:type="dxa" w:w="4032"/>
          </w:tcPr>
          <w:p>
            <w:r>
              <w:rPr>
                <w:sz w:val="20"/>
              </w:rPr>
              <w:t>Precisely establish plot centers for linking with Lidar and comparison to commonly used operational-grade GPS units already acquired ($10,000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estimate a total of 168 travel days to complete the data collection associated with Activities 1 and 2. These days cover travel for six undergraduate field techs (130 days ea.), one researcher (28 days total), and investigators (10 days total).  The cost is estimated at $100 per day.</w:t>
            </w:r>
          </w:p>
        </w:tc>
        <w:tc>
          <w:tcPr>
            <w:tcW w:type="dxa" w:w="4032"/>
          </w:tcPr>
          <w:p>
            <w:r>
              <w:rPr>
                <w:sz w:val="20"/>
              </w:rPr>
              <w:t>The large in-state travel budget is necessary due to the required effort to conduct the detailed carbon inventories required for carbon market entry and the diverse locations across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2 tablets</w:t>
            </w:r>
          </w:p>
        </w:tc>
        <w:tc>
          <w:tcPr>
            <w:tcW w:type="dxa" w:w="7560"/>
          </w:tcPr>
          <w:p>
            <w:r>
              <w:rPr>
                <w:sz w:val="20"/>
              </w:rPr>
              <w:t>Using electronic means to collect field data helps ensure accuracy through built-in error checking and avoidance of data transcription, reduces costs through fewer FTE required for data entry in the office, and substantially increases efficiency through time savings.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UMN (55% overhead)</w:t>
            </w:r>
          </w:p>
        </w:tc>
        <w:tc>
          <w:tcPr>
            <w:tcW w:type="dxa" w:w="6120"/>
          </w:tcPr>
          <w:p>
            <w:r>
              <w:rPr>
                <w:sz w:val="20"/>
              </w:rPr>
              <w:t>Operating costs of the UMN</w:t>
            </w:r>
          </w:p>
        </w:tc>
        <w:tc>
          <w:tcPr>
            <w:tcW w:type="dxa" w:w="1080"/>
          </w:tcPr>
          <w:p>
            <w:r>
              <w:rPr>
                <w:sz w:val="20"/>
              </w:rPr>
              <w:t>Secured</w:t>
            </w:r>
          </w:p>
        </w:tc>
        <w:tc>
          <w:tcPr>
            <w:tcW w:type="dxa" w:w="1440"/>
          </w:tcPr>
          <w:p>
            <w:pPr>
              <w:jc w:val="right"/>
            </w:pPr>
            <w:r>
              <w:rPr>
                <w:sz w:val="20"/>
              </w:rPr>
              <w:t>$324,500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$324,500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$324,500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8b8e8e4e-90b.pdf</w:t>
          </w:r>
        </w:hyperlink>
      </w:r>
    </w:p>
    <w:p>
      <w:pPr>
        <w:pStyle w:val="Heading4"/>
        <w:spacing w:before="40" w:after="20"/>
      </w:pPr>
      <w:r>
        <w:rPr>
          <w:b/>
          <w:i/>
          <w:color w:val="000000"/>
          <w:sz w:val="24"/>
        </w:rPr>
        <w:t>Alternate Text for Visual Component</w:t>
      </w:r>
    </w:p>
    <w:p>
      <w:r>
        <w:t>In addition to the text, pictures of bur oak trees and foliage, small (sapling) red pine, close-up view of medium-sized aspen stems, and mature red pine canopy from below.  Background watermark of mature red pine trees....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submission approval form</w:t>
            </w:r>
          </w:p>
        </w:tc>
        <w:tc>
          <w:tcPr>
            <w:tcW w:type="dxa" w:w="5400"/>
          </w:tcPr>
          <w:p>
            <w:r>
              <w:rPr>
                <w:sz w:val="20"/>
              </w:rPr>
            </w:r>
            <w:r>
              <w:rPr>
                <w:color w:val="000000" w:themeColor="hyperlink"/>
                <w:sz w:val="20"/>
                <w:u w:val="single"/>
              </w:rPr>
              <w:hyperlink r:id="rId13">
                <w:r>
                  <w:rPr/>
                  <w:t>1dc22481-dcf.pdf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b8e8e4e-90b.pdf" TargetMode="External"/><Relationship Id="rId13" Type="http://schemas.openxmlformats.org/officeDocument/2006/relationships/hyperlink" Target="https://lccmrprojectmgmt.leg.mn/media/attachments/1dc22481-dc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Removing Barriers to Carbon Market Entry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