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2023-044</w:t>
      </w:r>
    </w:p>
    <w:p>
      <w:r>
        <w:rPr>
          <w:b/>
        </w:rPr>
        <w:t xml:space="preserve">Proposal Title: </w:t>
      </w:r>
      <w:r>
        <w:t>Assessing Restorations for Rusty-Patched and Other Bumblebee Habitat</w:t>
      </w:r>
    </w:p>
    <w:p/>
    <w:p>
      <w:pPr>
        <w:pStyle w:val="Heading2"/>
        <w:spacing w:before="0" w:after="80"/>
      </w:pPr>
      <w:r>
        <w:rPr>
          <w:b/>
          <w:color w:val="2C559C"/>
          <w:sz w:val="28"/>
        </w:rPr>
        <w:t>Project Manager Information</w:t>
      </w:r>
    </w:p>
    <w:p>
      <w:r>
        <w:rPr>
          <w:b/>
        </w:rPr>
        <w:t xml:space="preserve">Name: </w:t>
      </w:r>
      <w:r>
        <w:t>Alex Roth</w:t>
      </w:r>
    </w:p>
    <w:p>
      <w:r>
        <w:rPr>
          <w:b/>
        </w:rPr>
        <w:t xml:space="preserve">Organization: </w:t>
      </w:r>
      <w:r>
        <w:t>Friends of the Mississippi River</w:t>
      </w:r>
    </w:p>
    <w:p>
      <w:r>
        <w:rPr>
          <w:b/>
        </w:rPr>
        <w:t xml:space="preserve">Office Telephone: </w:t>
      </w:r>
      <w:r>
        <w:t>(651) 222-2193</w:t>
      </w:r>
    </w:p>
    <w:p>
      <w:r>
        <w:rPr>
          <w:b/>
        </w:rPr>
        <w:t xml:space="preserve">Email: </w:t>
      </w:r>
      <w:r>
        <w:t>aroth@fmr.org</w:t>
      </w:r>
    </w:p>
    <w:p/>
    <w:p>
      <w:pPr>
        <w:pStyle w:val="Heading2"/>
        <w:spacing w:before="0" w:after="80"/>
      </w:pPr>
      <w:r>
        <w:rPr>
          <w:b/>
          <w:color w:val="2C559C"/>
          <w:sz w:val="28"/>
        </w:rPr>
        <w:t>Project Basic Information</w:t>
      </w:r>
    </w:p>
    <w:p>
      <w:r>
        <w:rPr>
          <w:b/>
        </w:rPr>
        <w:t xml:space="preserve">Project Summary: </w:t>
      </w:r>
      <w:r>
        <w:t>Using two prairie restorations, we will investigate how common restoration variables affect bumblebee habitat suitability by conducting bumblebee surveys and assessing nesting and foraging habitat in restored and remnant prairies.</w:t>
      </w:r>
    </w:p>
    <w:p>
      <w:r>
        <w:rPr>
          <w:b/>
        </w:rPr>
        <w:t xml:space="preserve">Funds Requested: </w:t>
      </w:r>
      <w:r>
        <w:t>$75,000</w:t>
      </w:r>
    </w:p>
    <w:p>
      <w:r>
        <w:rPr>
          <w:b/>
        </w:rPr>
        <w:t xml:space="preserve">Proposed Project Completion: </w:t>
      </w:r>
      <w:r>
        <w:t>June 30, 2026</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organizations spend millions of dollars on statewide land protection and habitat restoration each year, with a common goal being to provide habitat for pollinators. At the same time, native pollinators are experiencing population declines, as evidenced by the recent Federal listing of the Rusty Patched bumble bee. Currently, not enough is known about specific prairie restoration techniques or plant diversity levels needed to provide suitable habitat and encourage the greatest diversity of bumble bees, including important species like the Rusty Patched bumble bee. Moreover, it is unclear whether restorations differ from remnant prairie communities in their ability to provide nesting and foraging habitat for these species, or whether these two habitats differ in their realized pollinator diversity and abundance. Collecting this information will give managers insights necessary to help enhance past restorations and ensure that future restorations provide the greatest benefits for bumble bees and other native bees, with special attention to the needs of some of Minnesota’s Species of Greatest Conservation Need (SGCNs).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project will use two unique restoration sites to investigate two main questions: First, we will utilize an existing 180-acre experimental restoration site to assess how native seed mix diversity (30, 50, and 70 species) and seeding method (broadcast vs. drill seeding) contribute to the success of restorations in providing forage and nesting habitat used by bumblebees. We will also compare current bumble bee diversity and abundance within these treatments. At a second site with both remnant and restored prairies, we will assess how a typical restoration differs from a remnant site in terms of provision of suitable nesting and forage habitat, and will document whether restorations and remnants are used at the same levels of bumble bee diversity and abundance. FMR Ecologists will survey the current plant communities at each site, while pollinator biologists will survey current pollinator communities for two growing seasons. Data will be analyzed to compare pollinator abundance and diversity between treatments, and the Xerces Habitat Assessment tool will be used to score each treatment and to understand how restorations compare to remnant communities. These results will be incorporated into recommendations shared with Minnesota’s restoration community to improve overall prairie restoration outcomes for bumble bees and other</w:t>
      </w:r>
    </w:p>
    <w:p>
      <w:pPr>
        <w:spacing w:after="60"/>
      </w:pPr>
      <w:r>
        <w:rPr>
          <w:b/>
        </w:rPr>
        <w:t xml:space="preserve">What are the specific project outcomes as they relate to the public purpose of protection, conservation, preservation, and enhancement of the state’s natural resources? </w:t>
      </w:r>
    </w:p>
    <w:p>
      <w:r>
        <w:t>This project will analyze the effects of typical prairie restoration methods and seed mix diversity on viable bumble bee habitat, and whether treatments affect realized bumble bee diversity and abundance. Moreover, this project will assess how restorations compare to remnants in providing suitable habitat, and in their realized bumblebee diversity and abundance. Results will identify desired plant diversity levels, seeding methods, and habitat characteristics necessary to improve past and future restorations for imperiled pollinators like the Rusty Patched bumble bee. Results will increase the return on future restoration funding and will contrast restorations versus remnant sites, influencing future land protection decisions.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Vegetation and pollinator surveys, pollinator habitat assessments</w:t>
      </w:r>
    </w:p>
    <w:p>
      <w:r>
        <w:rPr>
          <w:b/>
        </w:rPr>
        <w:t xml:space="preserve">Activity Budget: </w:t>
      </w:r>
      <w:r>
        <w:t>$60,000</w:t>
      </w:r>
    </w:p>
    <w:p>
      <w:r>
        <w:rPr>
          <w:b/>
        </w:rPr>
        <w:t xml:space="preserve">Activity Description: </w:t>
        <w:br/>
      </w:r>
      <w:r>
        <w:t>FMR staff will survey vegetation at both sites to document plant diversity, and will use the Xerces Society’s Pollinator Habitat Assessment guide to assess sites for available pollinator resources and nesting habitat. FMR will hire a pollinator biologist to survey pollinators at all sites.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Vegetation surveys</w:t>
            </w:r>
          </w:p>
        </w:tc>
        <w:tc>
          <w:tcPr>
            <w:tcW w:type="dxa" w:w="2160"/>
          </w:tcPr>
          <w:p>
            <w:pPr>
              <w:jc w:val="right"/>
            </w:pPr>
            <w:r>
              <w:rPr>
                <w:sz w:val="20"/>
              </w:rPr>
              <w:t>October 31, 2024</w:t>
            </w:r>
          </w:p>
        </w:tc>
      </w:tr>
      <w:tr>
        <w:tc>
          <w:tcPr>
            <w:tcW w:type="dxa" w:w="8640"/>
          </w:tcPr>
          <w:p>
            <w:r>
              <w:rPr>
                <w:sz w:val="20"/>
              </w:rPr>
              <w:t>Pollinator habitat assessment</w:t>
            </w:r>
          </w:p>
        </w:tc>
        <w:tc>
          <w:tcPr>
            <w:tcW w:type="dxa" w:w="2160"/>
          </w:tcPr>
          <w:p>
            <w:pPr>
              <w:jc w:val="right"/>
            </w:pPr>
            <w:r>
              <w:rPr>
                <w:sz w:val="20"/>
              </w:rPr>
              <w:t>October 31, 2025</w:t>
            </w:r>
          </w:p>
        </w:tc>
      </w:tr>
      <w:tr>
        <w:tc>
          <w:tcPr>
            <w:tcW w:type="dxa" w:w="8640"/>
          </w:tcPr>
          <w:p>
            <w:r>
              <w:rPr>
                <w:sz w:val="20"/>
              </w:rPr>
              <w:t>Pollinator surveys</w:t>
            </w:r>
          </w:p>
        </w:tc>
        <w:tc>
          <w:tcPr>
            <w:tcW w:type="dxa" w:w="2160"/>
          </w:tcPr>
          <w:p>
            <w:pPr>
              <w:jc w:val="right"/>
            </w:pPr>
            <w:r>
              <w:rPr>
                <w:sz w:val="20"/>
              </w:rPr>
              <w:t>October 31, 2025</w:t>
            </w:r>
          </w:p>
        </w:tc>
      </w:tr>
    </w:tbl>
    <w:p/>
    <w:p>
      <w:pPr>
        <w:pStyle w:val="Heading3"/>
        <w:spacing w:after="60"/>
      </w:pPr>
      <w:r>
        <w:rPr>
          <w:b/>
          <w:color w:val="254885"/>
          <w:sz w:val="26"/>
        </w:rPr>
        <w:t>Activity 2: Analysis and report writing</w:t>
      </w:r>
    </w:p>
    <w:p>
      <w:r>
        <w:rPr>
          <w:b/>
        </w:rPr>
        <w:t xml:space="preserve">Activity Budget: </w:t>
      </w:r>
      <w:r>
        <w:t>$15,000</w:t>
      </w:r>
    </w:p>
    <w:p>
      <w:r>
        <w:rPr>
          <w:b/>
        </w:rPr>
        <w:t xml:space="preserve">Activity Description: </w:t>
        <w:br/>
      </w:r>
      <w:r>
        <w:t>FMR staff will analyze data and create recommendations in the form of a report.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Data entry from all veg surveys</w:t>
            </w:r>
          </w:p>
        </w:tc>
        <w:tc>
          <w:tcPr>
            <w:tcW w:type="dxa" w:w="2160"/>
          </w:tcPr>
          <w:p>
            <w:pPr>
              <w:jc w:val="right"/>
            </w:pPr>
            <w:r>
              <w:rPr>
                <w:sz w:val="20"/>
              </w:rPr>
              <w:t>March 31, 2025</w:t>
            </w:r>
          </w:p>
        </w:tc>
      </w:tr>
      <w:tr>
        <w:tc>
          <w:tcPr>
            <w:tcW w:type="dxa" w:w="8640"/>
          </w:tcPr>
          <w:p>
            <w:r>
              <w:rPr>
                <w:sz w:val="20"/>
              </w:rPr>
              <w:t>Data entry from assessment and pollinator surveys</w:t>
            </w:r>
          </w:p>
        </w:tc>
        <w:tc>
          <w:tcPr>
            <w:tcW w:type="dxa" w:w="2160"/>
          </w:tcPr>
          <w:p>
            <w:pPr>
              <w:jc w:val="right"/>
            </w:pPr>
            <w:r>
              <w:rPr>
                <w:sz w:val="20"/>
              </w:rPr>
              <w:t>December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results of our study will be used to create a set of recommendations to improve current and future restorations. Recommendations will be disseminated through written reports distributed to statewide conservation partners including the MN DNR, BWSR, cities, counties, and nonprofits. Reports will be shared through organizations like the Metro Conservation Network, and hosted on websites including BWSR’s “What’s Working for Conservation” page and FMR’s own website. Results of this study will also be presented at relevant conferences, including Pollinator Friendly Alliance’s Best Practices for Pollinators, MCN’s yearly meetings, and others.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 Conservation Corridors Phase VIII - Prairie, Forest, and Savanna Restoration in Greater Metropolitan Area</w:t>
            </w:r>
          </w:p>
        </w:tc>
        <w:tc>
          <w:tcPr>
            <w:tcW w:type="dxa" w:w="4680"/>
          </w:tcPr>
          <w:p>
            <w:r>
              <w:rPr>
                <w:sz w:val="20"/>
              </w:rPr>
              <w:t>M.L. 2015, Chp. 76, Sec. 2, Subd. 08e</w:t>
            </w:r>
          </w:p>
        </w:tc>
        <w:tc>
          <w:tcPr>
            <w:tcW w:type="dxa" w:w="1440"/>
          </w:tcPr>
          <w:p>
            <w:pPr>
              <w:jc w:val="right"/>
            </w:pPr>
            <w:r>
              <w:rPr>
                <w:sz w:val="20"/>
              </w:rPr>
              <w:t>$276,000</w:t>
            </w:r>
          </w:p>
        </w:tc>
      </w:tr>
      <w:tr>
        <w:tc>
          <w:tcPr>
            <w:tcW w:type="dxa" w:w="4680"/>
          </w:tcPr>
          <w:p>
            <w:r>
              <w:rPr>
                <w:sz w:val="20"/>
              </w:rPr>
              <w:t>Mississippi and Vermillion River Restoration of Prairie, Savanna, and Forest Habitat - Phase Ten</w:t>
            </w:r>
          </w:p>
        </w:tc>
        <w:tc>
          <w:tcPr>
            <w:tcW w:type="dxa" w:w="4680"/>
          </w:tcPr>
          <w:p>
            <w:r>
              <w:rPr>
                <w:sz w:val="20"/>
              </w:rPr>
              <w:t>M.L. 2017, Chp. 96, Sec. 2, Subd. 08h</w:t>
            </w:r>
          </w:p>
        </w:tc>
        <w:tc>
          <w:tcPr>
            <w:tcW w:type="dxa" w:w="1440"/>
          </w:tcPr>
          <w:p>
            <w:pPr>
              <w:jc w:val="right"/>
            </w:pPr>
            <w:r>
              <w:rPr>
                <w:sz w:val="20"/>
              </w:rPr>
              <w:t>$213,000</w:t>
            </w:r>
          </w:p>
        </w:tc>
      </w:tr>
      <w:tr>
        <w:tc>
          <w:tcPr>
            <w:tcW w:type="dxa" w:w="4680"/>
          </w:tcPr>
          <w:p>
            <w:r>
              <w:rPr>
                <w:sz w:val="20"/>
              </w:rPr>
              <w:t>Pollinator Habitat Creation Along The Urban Mississippi River</w:t>
            </w:r>
          </w:p>
        </w:tc>
        <w:tc>
          <w:tcPr>
            <w:tcW w:type="dxa" w:w="4680"/>
          </w:tcPr>
          <w:p>
            <w:r>
              <w:rPr>
                <w:sz w:val="20"/>
              </w:rPr>
              <w:t>M.L. 2021, First Special Session, Chp. 6, Art. 5, Sec. 2, Subd. 08j</w:t>
            </w:r>
          </w:p>
        </w:tc>
        <w:tc>
          <w:tcPr>
            <w:tcW w:type="dxa" w:w="1440"/>
          </w:tcPr>
          <w:p>
            <w:pPr>
              <w:jc w:val="right"/>
            </w:pPr>
            <w:r>
              <w:rPr>
                <w:sz w:val="20"/>
              </w:rPr>
              <w:t>$129,000</w:t>
            </w:r>
          </w:p>
        </w:tc>
      </w:tr>
      <w:tr>
        <w:tc>
          <w:tcPr>
            <w:tcW w:type="dxa" w:w="4680"/>
          </w:tcPr>
          <w:p>
            <w:r>
              <w:rPr>
                <w:sz w:val="20"/>
              </w:rPr>
              <w:t>Urban Pollinator And Native American Cultural Site Restoration</w:t>
            </w:r>
          </w:p>
        </w:tc>
        <w:tc>
          <w:tcPr>
            <w:tcW w:type="dxa" w:w="4680"/>
          </w:tcPr>
          <w:p>
            <w:r>
              <w:rPr>
                <w:sz w:val="20"/>
              </w:rPr>
              <w:t>M.L. 2021, First Special Session, Chp. 6, Art. 6, Sec. 2, Subd. 08l</w:t>
            </w:r>
          </w:p>
        </w:tc>
        <w:tc>
          <w:tcPr>
            <w:tcW w:type="dxa" w:w="1440"/>
          </w:tcPr>
          <w:p>
            <w:pPr>
              <w:jc w:val="right"/>
            </w:pPr>
            <w:r>
              <w:rPr>
                <w:sz w:val="20"/>
              </w:rPr>
              <w:t>$213,000</w:t>
            </w:r>
          </w:p>
        </w:tc>
      </w:tr>
    </w:tbl>
    <w:p/>
    <w:p>
      <w:pPr>
        <w:pStyle w:val="Heading2"/>
        <w:spacing w:before="0" w:after="80"/>
      </w:pPr>
      <w:r>
        <w:rPr>
          <w:b/>
          <w:color w:val="2C559C"/>
          <w:sz w:val="28"/>
        </w:rPr>
        <w:t>Project Manager and Organization Qualifications</w:t>
      </w:r>
    </w:p>
    <w:p>
      <w:r>
        <w:rPr>
          <w:b/>
        </w:rPr>
        <w:t xml:space="preserve">Project Manager Name: </w:t>
      </w:r>
      <w:r>
        <w:t>Alex Roth</w:t>
      </w:r>
    </w:p>
    <w:p>
      <w:r>
        <w:rPr>
          <w:b/>
        </w:rPr>
        <w:t xml:space="preserve">Job Title: </w:t>
      </w:r>
      <w:r>
        <w:t>Conservation Director</w:t>
      </w:r>
    </w:p>
    <w:p>
      <w:r>
        <w:rPr>
          <w:b/>
        </w:rPr>
        <w:t xml:space="preserve">Provide description of the project manager’s qualifications to manage the proposed project. </w:t>
        <w:br/>
      </w:r>
      <w:r>
        <w:t>Friends of the Mississippi River (FMR) and Dr. Roth have managed many past LCCMR projects, including active FY20 and FY21 appropriations. FMR staff manage a network of more than 30 active restoration sites, many of which have been funded in part by LCCMR appropriations, and conduct active restoration research that has resulted in publications and reports shared with the restoration community. FMR staff hold advanced degrees in Natural Resources, Ecology, and Restoration, and this project would draw on FMR's experience with restoration, research, and monitoring to assess sites' habitat suitability for bumblebees (including the Rusty Patched Bumblebee other important pollinators). FMR is uniquely positioned to investigate this topic given our experience and connections with both restoration and research projects.</w:t>
      </w:r>
    </w:p>
    <w:p>
      <w:r>
        <w:rPr>
          <w:b/>
        </w:rPr>
        <w:t xml:space="preserve">Organization: </w:t>
      </w:r>
      <w:r>
        <w:t>Friends of the Mississippi River</w:t>
      </w:r>
    </w:p>
    <w:p>
      <w:r>
        <w:rPr>
          <w:b/>
        </w:rPr>
        <w:t xml:space="preserve">Organization Description: </w:t>
        <w:br/>
      </w:r>
      <w:r>
        <w:t>Friends of the Mississippi River (FMR) is a leading citizen organization working to protect and enhance the Mississippi River and its watershed in the Twin Cities area. We believe the tremendous ecological, cultural, scenic and recreational values of the river must be carefully tended to ensure that they continue to be shared equally by all citizens and that they endure for future generations. We accomplish these goals through three inter-related programs.</w:t>
        <w:br/>
        <w:t>•</w:t>
        <w:tab/>
        <w:t>Land Conservation: We work with public and private landowners to protect, restore and manage important natural areas along the river and its key tributaries.</w:t>
        <w:br/>
        <w:t>•</w:t>
        <w:tab/>
        <w:t>Watershed Protection: Working with citizens and local governments, we strive to draw attention to the health of local rivers, lakes and wetlands and bring citizen opinion to bear on decisions that improve water quality.</w:t>
        <w:br/>
        <w:t>•</w:t>
        <w:tab/>
        <w:t>River Corridor Stewardship: The Mississippi River cannot protect itself. We engage citizens in a variety of educational, recreational, and volunteer stewardship activities that give them the desire and the understanding to advocate on behalf of the river’s public values at City Hall or the State Capitol.</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Ecologist</w:t>
            </w:r>
          </w:p>
        </w:tc>
        <w:tc>
          <w:tcPr>
            <w:tcW w:type="dxa" w:w="1440"/>
          </w:tcPr>
          <w:p>
            <w:r>
              <w:rPr>
                <w:sz w:val="20"/>
              </w:rPr>
            </w:r>
          </w:p>
        </w:tc>
        <w:tc>
          <w:tcPr>
            <w:tcW w:type="dxa" w:w="5472"/>
          </w:tcPr>
          <w:p>
            <w:r>
              <w:rPr>
                <w:sz w:val="20"/>
              </w:rPr>
              <w:t>Survey &amp; research</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$37,500</w:t>
            </w:r>
          </w:p>
        </w:tc>
      </w:tr>
      <w:tr>
        <w:tc>
          <w:tcPr>
            <w:tcW w:type="dxa" w:w="864"/>
          </w:tcPr>
          <w:p>
            <w:r>
              <w:rPr>
                <w:sz w:val="20"/>
              </w:rPr>
              <w:t>Entomologist</w:t>
            </w:r>
          </w:p>
        </w:tc>
        <w:tc>
          <w:tcPr>
            <w:tcW w:type="dxa" w:w="1440"/>
          </w:tcPr>
          <w:p>
            <w:r>
              <w:rPr>
                <w:sz w:val="20"/>
              </w:rPr>
            </w:r>
          </w:p>
        </w:tc>
        <w:tc>
          <w:tcPr>
            <w:tcW w:type="dxa" w:w="5472"/>
          </w:tcPr>
          <w:p>
            <w:r>
              <w:rPr>
                <w:sz w:val="20"/>
              </w:rPr>
              <w:t>Pollinator surveys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$22,800</w:t>
            </w:r>
          </w:p>
        </w:tc>
      </w:tr>
      <w:tr>
        <w:tc>
          <w:tcPr>
            <w:tcW w:type="dxa" w:w="864"/>
          </w:tcPr>
          <w:p>
            <w:r>
              <w:rPr>
                <w:sz w:val="20"/>
              </w:rPr>
              <w:t>Project Manager</w:t>
            </w:r>
          </w:p>
        </w:tc>
        <w:tc>
          <w:tcPr>
            <w:tcW w:type="dxa" w:w="1440"/>
          </w:tcPr>
          <w:p>
            <w:r>
              <w:rPr>
                <w:sz w:val="20"/>
              </w:rPr>
            </w:r>
          </w:p>
        </w:tc>
        <w:tc>
          <w:tcPr>
            <w:tcW w:type="dxa" w:w="5472"/>
          </w:tcPr>
          <w:p>
            <w:r>
              <w:rPr>
                <w:sz w:val="20"/>
              </w:rPr>
              <w:t>Project oversight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$5,400</w:t>
            </w:r>
          </w:p>
        </w:tc>
      </w:tr>
      <w:tr>
        <w:tc>
          <w:tcPr>
            <w:tcW w:type="dxa" w:w="864"/>
          </w:tcPr>
          <w:p>
            <w:r>
              <w:rPr>
                <w:sz w:val="20"/>
              </w:rPr>
              <w:t>Accountant</w:t>
            </w:r>
          </w:p>
        </w:tc>
        <w:tc>
          <w:tcPr>
            <w:tcW w:type="dxa" w:w="1440"/>
          </w:tcPr>
          <w:p>
            <w:r>
              <w:rPr>
                <w:sz w:val="20"/>
              </w:rPr>
            </w:r>
          </w:p>
        </w:tc>
        <w:tc>
          <w:tcPr>
            <w:tcW w:type="dxa" w:w="5472"/>
          </w:tcPr>
          <w:p>
            <w:r>
              <w:rPr>
                <w:sz w:val="20"/>
              </w:rPr>
              <w:t>Accounting</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$4,300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Sweep nets, hand lenses, photography jars</w:t>
            </w:r>
          </w:p>
        </w:tc>
        <w:tc>
          <w:tcPr>
            <w:tcW w:type="dxa" w:w="4032"/>
          </w:tcPr>
          <w:p>
            <w:r>
              <w:rPr>
                <w:sz w:val="20"/>
              </w:rPr>
              <w:t>Equipment to assist in non-lethal pollinator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Post, ping flags, flagging, data sheets</w:t>
            </w:r>
          </w:p>
        </w:tc>
        <w:tc>
          <w:tcPr>
            <w:tcW w:type="dxa" w:w="4032"/>
          </w:tcPr>
          <w:p>
            <w:r>
              <w:rPr>
                <w:sz w:val="20"/>
              </w:rPr>
              <w:t>Plot set-up, marking, and survey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28 trips to two sites at $0.585/mile</w:t>
            </w:r>
          </w:p>
        </w:tc>
        <w:tc>
          <w:tcPr>
            <w:tcW w:type="dxa" w:w="4032"/>
          </w:tcPr>
          <w:p>
            <w:r>
              <w:rPr>
                <w:sz w:val="20"/>
              </w:rPr>
              <w:t>Mileage for twice-monthly pollinator surveys, habitat assessments, and other site visits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In-house or contracted printing of 250+ project reports for partners</w:t>
            </w:r>
          </w:p>
        </w:tc>
        <w:tc>
          <w:tcPr>
            <w:tcW w:type="dxa" w:w="4032"/>
          </w:tcPr>
          <w:p>
            <w:r>
              <w:rPr>
                <w:sz w:val="20"/>
              </w:rPr>
              <w:t>Printing to disseminate report of project's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Private donors</w:t>
            </w:r>
          </w:p>
        </w:tc>
        <w:tc>
          <w:tcPr>
            <w:tcW w:type="dxa" w:w="6120"/>
          </w:tcPr>
          <w:p>
            <w:r>
              <w:rPr>
                <w:sz w:val="20"/>
              </w:rPr>
              <w:t>Staff time</w:t>
            </w:r>
          </w:p>
        </w:tc>
        <w:tc>
          <w:tcPr>
            <w:tcW w:type="dxa" w:w="1080"/>
          </w:tcPr>
          <w:p>
            <w:r>
              <w:rPr>
                <w:sz w:val="20"/>
              </w:rPr>
              <w:t>Potential</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acb6afb7-067.pdf</w:t>
          </w:r>
        </w:hyperlink>
      </w:r>
    </w:p>
    <w:p>
      <w:pPr>
        <w:pStyle w:val="Heading4"/>
        <w:spacing w:before="40" w:after="20"/>
      </w:pPr>
      <w:r>
        <w:rPr>
          <w:b/>
          <w:i/>
          <w:color w:val="000000"/>
          <w:sz w:val="24"/>
        </w:rPr>
        <w:t>Alternate Text for Visual Component</w:t>
      </w:r>
    </w:p>
    <w:p>
      <w:r>
        <w:t>Site Maps - Houlton and Hastings Sand Coulee SNA...</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d4f8574e-dbe.pdf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FMR board resolution LCCMR ML23</w:t>
            </w:r>
          </w:p>
        </w:tc>
        <w:tc>
          <w:tcPr>
            <w:tcW w:type="dxa" w:w="5400"/>
          </w:tcPr>
          <w:p>
            <w:r>
              <w:rPr>
                <w:sz w:val="20"/>
              </w:rPr>
            </w:r>
            <w:r>
              <w:rPr>
                <w:color w:val="000000" w:themeColor="hyperlink"/>
                <w:sz w:val="20"/>
                <w:u w:val="single"/>
              </w:rPr>
              <w:hyperlink r:id="rId14">
                <w:r>
                  <w:rPr/>
                  <w:t>f5e5a93a-1fc.pdf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GRG letter support</w:t>
            </w:r>
          </w:p>
        </w:tc>
        <w:tc>
          <w:tcPr>
            <w:tcW w:type="dxa" w:w="5400"/>
          </w:tcPr>
          <w:p>
            <w:r>
              <w:rPr>
                <w:sz w:val="20"/>
              </w:rPr>
            </w:r>
            <w:r>
              <w:rPr>
                <w:color w:val="000000" w:themeColor="hyperlink"/>
                <w:sz w:val="20"/>
                <w:u w:val="single"/>
              </w:rPr>
              <w:hyperlink r:id="rId15">
                <w:r>
                  <w:rPr/>
                  <w:t>ae974825-8d8.pdf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acb6afb7-067.pdf" TargetMode="External"/><Relationship Id="rId13" Type="http://schemas.openxmlformats.org/officeDocument/2006/relationships/hyperlink" Target="https://lccmrprojectmgmt.leg.mn/media/financial_capacity/d4f8574e-dbe.pdf" TargetMode="External"/><Relationship Id="rId14" Type="http://schemas.openxmlformats.org/officeDocument/2006/relationships/hyperlink" Target="https://lccmrprojectmgmt.leg.mn/media/attachments/f5e5a93a-1fc.pdf" TargetMode="External"/><Relationship Id="rId15" Type="http://schemas.openxmlformats.org/officeDocument/2006/relationships/hyperlink" Target="https://lccmrprojectmgmt.leg.mn/media/attachments/ae974825-8d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Assessing Restorations for Rusty-Patched and Other Bumblebee Habitat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