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2023-037</w:t>
      </w:r>
    </w:p>
    <w:p>
      <w:r>
        <w:rPr>
          <w:b/>
        </w:rPr>
        <w:t xml:space="preserve">Proposal Title: </w:t>
      </w:r>
      <w:r>
        <w:t>East Side River District</w:t>
      </w:r>
    </w:p>
    <w:p/>
    <w:p>
      <w:pPr>
        <w:pStyle w:val="Heading2"/>
        <w:spacing w:before="0" w:after="80"/>
      </w:pPr>
      <w:r>
        <w:rPr>
          <w:b/>
          <w:color w:val="2C559C"/>
          <w:sz w:val="28"/>
        </w:rPr>
        <w:t>Project Manager Information</w:t>
      </w:r>
    </w:p>
    <w:p>
      <w:r>
        <w:rPr>
          <w:b/>
        </w:rPr>
        <w:t xml:space="preserve">Name: </w:t>
      </w:r>
      <w:r>
        <w:t>Mary deLaittre</w:t>
      </w:r>
    </w:p>
    <w:p>
      <w:r>
        <w:rPr>
          <w:b/>
        </w:rPr>
        <w:t xml:space="preserve">Organization: </w:t>
      </w:r>
      <w:r>
        <w:t>Great River Passage Conservancy</w:t>
      </w:r>
    </w:p>
    <w:p>
      <w:r>
        <w:rPr>
          <w:b/>
        </w:rPr>
        <w:t xml:space="preserve">Office Telephone: </w:t>
      </w:r>
      <w:r>
        <w:t>(612) 398-5989</w:t>
      </w:r>
    </w:p>
    <w:p>
      <w:r>
        <w:rPr>
          <w:b/>
        </w:rPr>
        <w:t xml:space="preserve">Email: </w:t>
      </w:r>
      <w:r>
        <w:t>Mary@GreatRiverPassage.org</w:t>
      </w:r>
    </w:p>
    <w:p/>
    <w:p>
      <w:pPr>
        <w:pStyle w:val="Heading2"/>
        <w:spacing w:before="0" w:after="80"/>
      </w:pPr>
      <w:r>
        <w:rPr>
          <w:b/>
          <w:color w:val="2C559C"/>
          <w:sz w:val="28"/>
        </w:rPr>
        <w:t>Project Basic Information</w:t>
      </w:r>
    </w:p>
    <w:p>
      <w:r>
        <w:rPr>
          <w:b/>
        </w:rPr>
        <w:t xml:space="preserve">Project Summary: </w:t>
      </w:r>
      <w:r>
        <w:t>The East Side River District project will reconnect Saint Paul to the river, restoring compromised ecosystems and biodiversity while protecting water quality and linking underserved communities to a long-neglected area.</w:t>
      </w:r>
    </w:p>
    <w:p>
      <w:r>
        <w:rPr>
          <w:b/>
        </w:rPr>
        <w:t xml:space="preserve">Funds Requested: </w:t>
      </w:r>
      <w:r>
        <w:t>$2,300,000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One of the Conservancy’s three key projects, the 1,000-acre East Side River District is on the Mississippi flyway bird migration route (classified by Audubon as an Important Bird Area), and includes the Pig’s Eye Island Heron Rookery Scientific and Natural Area. As such, this area is a sensitive center of ecological restoration activity that converges with an industrial landscape that includes a stretch of Mississippi River trafficked by shipping barges, multiple rail yards, water treatment and wood-chipping facilities, and two hazardous Superfund sites where capped wells are eroding and leaking into the river and lake.   </w:t>
        <w:br/>
        <w:t xml:space="preserve">  </w:t>
        <w:br/>
        <w:t xml:space="preserve">This convergence limits the area’s potential in several ways:   </w:t>
        <w:br/>
        <w:t xml:space="preserve">• Few trails or access points for the community to appreciate the land and riverfront   </w:t>
        <w:br/>
        <w:t xml:space="preserve">• Lack of acknowledgement and caretaking of Sacred Dakota sites    </w:t>
        <w:br/>
        <w:t xml:space="preserve">• Compromised ability to protect and preserve wildlife, the river’s health, and more   </w:t>
        <w:br/>
        <w:t xml:space="preserve">   </w:t>
        <w:br/>
        <w:t>Among other urgent ecological issues, the area is home to a number of endangered species and a dynamic array of wildlife that includes roughly 50 types of fish and 165 species of birds. With our ESRD schematic design and implementation, we have the opportunity to advance solutions that respect, protect, and enhance this sensitive and disturbed riparian landscape.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Conservancy seeks funding to complete the design process for our East Side River District project and begin its implementation phase. Equitable and inclusive design for the ESRD is essential because the area is home to sacred and significant Dakota sites, and the 1,000-acre site has been long neglected as a place of recreation and preservation—both cultural and natural. With LCCMR support, the Conservancy will heal the ESRD’s damaged landscape and connect under-represented groups to the river by establishing accessible trail systems, protecting and celebrating sacred sites, and creating welcoming community spaces where people of all backgrounds can connect.    </w:t>
        <w:br/>
        <w:t xml:space="preserve">  </w:t>
        <w:br/>
        <w:t>Partnership with LCCMR will also build on preservation and conservation momentum at the state level. In May 2022 the Senate passed a bill establishing a task force to accelerate the clean-up at Pig’s Eye landfill, a key milestone in the restoration of the two hazardous Superfund sites in the ESRD. This reflects renewed political will to secure the considerable funding needed to clean up this long-polluted area, and the Conservancy has been instrumental in advancing this bill through testimony before the House Committee.</w:t>
      </w:r>
    </w:p>
    <w:p>
      <w:pPr>
        <w:spacing w:after="60"/>
      </w:pPr>
      <w:r>
        <w:rPr>
          <w:b/>
        </w:rPr>
        <w:t xml:space="preserve">What are the specific project outcomes as they relate to the public purpose of protection, conservation, preservation, and enhancement of the state’s natural resources? </w:t>
      </w:r>
    </w:p>
    <w:p>
      <w:r>
        <w:t xml:space="preserve">The Conservancy’s East Side River District will complete a forward-thinking, light-on-the-land design and implementation that:    </w:t>
        <w:br/>
        <w:t xml:space="preserve">    </w:t>
        <w:br/>
        <w:t xml:space="preserve">• Heals an environmentally disturbed landscape by advancing a sustainable restoration, conservation, and resilience plan that protects flora and fauna, restores the flood plain, and more—all coinciding with the City’s clean-up initiative   </w:t>
        <w:br/>
        <w:t xml:space="preserve">• Connects under-represented groups to the ESRD through trail systems, community spaces, and features that create new access   </w:t>
        <w:br/>
        <w:t xml:space="preserve">• Protects sacred and significant Dakota sites    </w:t>
        <w:br/>
        <w:t>• Engages the community in the complex stories and histories of Saint Paul and the Dakota that have gone untold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Schematic Design</w:t>
      </w:r>
    </w:p>
    <w:p>
      <w:r>
        <w:rPr>
          <w:b/>
        </w:rPr>
        <w:t xml:space="preserve">Activity Budget: </w:t>
      </w:r>
      <w:r>
        <w:t>$717,000</w:t>
      </w:r>
    </w:p>
    <w:p>
      <w:r>
        <w:rPr>
          <w:b/>
        </w:rPr>
        <w:t xml:space="preserve">Activity Description: </w:t>
        <w:br/>
      </w:r>
      <w:r>
        <w:t xml:space="preserve">Schematic design process includes the public release of the RFP to designers across the country, including outreach to Native-led teams.  The schematic designer will be selected by a 12-person design team selection committee representing Saint Paul government, nonprofits, tribal communities, neighborhood organizations, and design professionals. The final schematic design deliverables will include design vision, cost estimate, phasing, partner roles and responsibilities. </w:t>
        <w:br/>
        <w:t xml:space="preserve"> </w:t>
        <w:br/>
        <w:t>Throughout the process, we will ensure that all design decisions respond to the urgent need to protect and restore the lands, waters, and natural resources of the East Side River District. To that end, the phasing piece of the schematic design process will identify restoration activities that can happen in conjunction with the efforts outlined in Activity 2 below.</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50% of schematic design complete</w:t>
            </w:r>
          </w:p>
        </w:tc>
        <w:tc>
          <w:tcPr>
            <w:tcW w:type="dxa" w:w="2160"/>
          </w:tcPr>
          <w:p>
            <w:pPr>
              <w:jc w:val="right"/>
            </w:pPr>
            <w:r>
              <w:rPr>
                <w:sz w:val="20"/>
              </w:rPr>
              <w:t>November 30, 2023</w:t>
            </w:r>
          </w:p>
        </w:tc>
      </w:tr>
      <w:tr>
        <w:tc>
          <w:tcPr>
            <w:tcW w:type="dxa" w:w="8640"/>
          </w:tcPr>
          <w:p>
            <w:r>
              <w:rPr>
                <w:sz w:val="20"/>
              </w:rPr>
              <w:t>75% of schematic design complete</w:t>
            </w:r>
          </w:p>
        </w:tc>
        <w:tc>
          <w:tcPr>
            <w:tcW w:type="dxa" w:w="2160"/>
          </w:tcPr>
          <w:p>
            <w:pPr>
              <w:jc w:val="right"/>
            </w:pPr>
            <w:r>
              <w:rPr>
                <w:sz w:val="20"/>
              </w:rPr>
              <w:t>January 31, 2024</w:t>
            </w:r>
          </w:p>
        </w:tc>
      </w:tr>
      <w:tr>
        <w:tc>
          <w:tcPr>
            <w:tcW w:type="dxa" w:w="8640"/>
          </w:tcPr>
          <w:p>
            <w:r>
              <w:rPr>
                <w:sz w:val="20"/>
              </w:rPr>
              <w:t>Cost estimate, phasing and finance strategy complete. [End of schematic design]</w:t>
            </w:r>
          </w:p>
        </w:tc>
        <w:tc>
          <w:tcPr>
            <w:tcW w:type="dxa" w:w="2160"/>
          </w:tcPr>
          <w:p>
            <w:pPr>
              <w:jc w:val="right"/>
            </w:pPr>
            <w:r>
              <w:rPr>
                <w:sz w:val="20"/>
              </w:rPr>
              <w:t>July 31, 2024</w:t>
            </w:r>
          </w:p>
        </w:tc>
      </w:tr>
    </w:tbl>
    <w:p/>
    <w:p>
      <w:pPr>
        <w:pStyle w:val="Heading3"/>
        <w:spacing w:after="60"/>
      </w:pPr>
      <w:r>
        <w:rPr>
          <w:b/>
          <w:color w:val="254885"/>
          <w:sz w:val="26"/>
        </w:rPr>
        <w:t>Activity 2: Design Development and Construction Documents</w:t>
      </w:r>
    </w:p>
    <w:p>
      <w:r>
        <w:rPr>
          <w:b/>
        </w:rPr>
        <w:t xml:space="preserve">Activity Budget: </w:t>
      </w:r>
      <w:r>
        <w:t>$1,195,000</w:t>
      </w:r>
    </w:p>
    <w:p>
      <w:r>
        <w:rPr>
          <w:b/>
        </w:rPr>
        <w:t xml:space="preserve">Activity Description: </w:t>
        <w:br/>
      </w:r>
      <w:r>
        <w:t>Building upon schematic design, the design development and construction documents activity continues to gather community and stakeholder input while beginning to build detailed plans, budgets, and blueprints needed for more complex pieces of the projects. As referenced in Activity 4, design in and around the ESRD is a complex endeavor due to the many partners and projects active in the area. The Conservancy will partner closely with those organizations, agencies, and businesses to ensure that our design and construction prioritizes landscape restoration, water protection needs, wetland preservation, and other environmental concerns that are critical to address as we aim to repair a long-damaged landscape and riverfront.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Designer hired/engaged</w:t>
            </w:r>
          </w:p>
        </w:tc>
        <w:tc>
          <w:tcPr>
            <w:tcW w:type="dxa" w:w="2160"/>
          </w:tcPr>
          <w:p>
            <w:pPr>
              <w:jc w:val="right"/>
            </w:pPr>
            <w:r>
              <w:rPr>
                <w:sz w:val="20"/>
              </w:rPr>
              <w:t>August 31, 2024</w:t>
            </w:r>
          </w:p>
        </w:tc>
      </w:tr>
      <w:tr>
        <w:tc>
          <w:tcPr>
            <w:tcW w:type="dxa" w:w="8640"/>
          </w:tcPr>
          <w:p>
            <w:r>
              <w:rPr>
                <w:sz w:val="20"/>
              </w:rPr>
              <w:t>50% of design complete</w:t>
            </w:r>
          </w:p>
        </w:tc>
        <w:tc>
          <w:tcPr>
            <w:tcW w:type="dxa" w:w="2160"/>
          </w:tcPr>
          <w:p>
            <w:pPr>
              <w:jc w:val="right"/>
            </w:pPr>
            <w:r>
              <w:rPr>
                <w:sz w:val="20"/>
              </w:rPr>
              <w:t>January 31, 2025</w:t>
            </w:r>
          </w:p>
        </w:tc>
      </w:tr>
      <w:tr>
        <w:tc>
          <w:tcPr>
            <w:tcW w:type="dxa" w:w="8640"/>
          </w:tcPr>
          <w:p>
            <w:r>
              <w:rPr>
                <w:sz w:val="20"/>
              </w:rPr>
              <w:t>Philanthropic fundraising goals established</w:t>
            </w:r>
          </w:p>
        </w:tc>
        <w:tc>
          <w:tcPr>
            <w:tcW w:type="dxa" w:w="2160"/>
          </w:tcPr>
          <w:p>
            <w:pPr>
              <w:jc w:val="right"/>
            </w:pPr>
            <w:r>
              <w:rPr>
                <w:sz w:val="20"/>
              </w:rPr>
              <w:t>January 31, 2025</w:t>
            </w:r>
          </w:p>
        </w:tc>
      </w:tr>
      <w:tr>
        <w:tc>
          <w:tcPr>
            <w:tcW w:type="dxa" w:w="8640"/>
          </w:tcPr>
          <w:p>
            <w:r>
              <w:rPr>
                <w:sz w:val="20"/>
              </w:rPr>
              <w:t>Construction documents complete</w:t>
            </w:r>
          </w:p>
        </w:tc>
        <w:tc>
          <w:tcPr>
            <w:tcW w:type="dxa" w:w="2160"/>
          </w:tcPr>
          <w:p>
            <w:pPr>
              <w:jc w:val="right"/>
            </w:pPr>
            <w:r>
              <w:rPr>
                <w:sz w:val="20"/>
              </w:rPr>
              <w:t>April 30, 2025</w:t>
            </w:r>
          </w:p>
        </w:tc>
      </w:tr>
    </w:tbl>
    <w:p/>
    <w:p>
      <w:pPr>
        <w:pStyle w:val="Heading3"/>
        <w:spacing w:after="60"/>
      </w:pPr>
      <w:r>
        <w:rPr>
          <w:b/>
          <w:color w:val="254885"/>
          <w:sz w:val="26"/>
        </w:rPr>
        <w:t>Activity 3: Community engagement</w:t>
      </w:r>
    </w:p>
    <w:p>
      <w:r>
        <w:rPr>
          <w:b/>
        </w:rPr>
        <w:t xml:space="preserve">Activity Budget: </w:t>
      </w:r>
      <w:r>
        <w:t>$88,000</w:t>
      </w:r>
    </w:p>
    <w:p>
      <w:r>
        <w:rPr>
          <w:b/>
        </w:rPr>
        <w:t xml:space="preserve">Activity Description: </w:t>
        <w:br/>
      </w:r>
      <w:r>
        <w:t xml:space="preserve">Community engagement is a vital activity throughout all key activities. Our robust community engagement process in partnership with the selected design team will feature stakeholder meetings (e.g. business owners, tenants and community members in the project area, etc.), community meetings, surveys and focus groups for communities that have been historically excluded from design processes.   </w:t>
        <w:br/>
        <w:t xml:space="preserve">  </w:t>
        <w:br/>
        <w:t xml:space="preserve">Community engagement also includes working with a Dakota consultant to lead Dakota-specific engagement. This effort is essential given that the East Side River District is Dakota homeland, and we are committed to designing the ESRD in ways that support cultural and historic preservation.   </w:t>
        <w:br/>
        <w:t xml:space="preserve">  </w:t>
        <w:br/>
        <w:t>This community engagement process builds on the model we have used for our other two key capital projects, the River Balcony and Mississippi River Learning Center, and leverages learnings we gained through our participation in the High Line Network’s Equitable Impacts Framework (EIF).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1st of 3 stakeholder, advisory and technical committee meetings held during schematic design</w:t>
            </w:r>
          </w:p>
        </w:tc>
        <w:tc>
          <w:tcPr>
            <w:tcW w:type="dxa" w:w="2160"/>
          </w:tcPr>
          <w:p>
            <w:pPr>
              <w:jc w:val="right"/>
            </w:pPr>
            <w:r>
              <w:rPr>
                <w:sz w:val="20"/>
              </w:rPr>
              <w:t>July 31, 2023</w:t>
            </w:r>
          </w:p>
        </w:tc>
      </w:tr>
      <w:tr>
        <w:tc>
          <w:tcPr>
            <w:tcW w:type="dxa" w:w="8640"/>
          </w:tcPr>
          <w:p>
            <w:r>
              <w:rPr>
                <w:sz w:val="20"/>
              </w:rPr>
              <w:t>Dakota consultant hired to lead Dakota-specific engagement</w:t>
            </w:r>
          </w:p>
        </w:tc>
        <w:tc>
          <w:tcPr>
            <w:tcW w:type="dxa" w:w="2160"/>
          </w:tcPr>
          <w:p>
            <w:pPr>
              <w:jc w:val="right"/>
            </w:pPr>
            <w:r>
              <w:rPr>
                <w:sz w:val="20"/>
              </w:rPr>
              <w:t>July 31, 2023</w:t>
            </w:r>
          </w:p>
        </w:tc>
      </w:tr>
      <w:tr>
        <w:tc>
          <w:tcPr>
            <w:tcW w:type="dxa" w:w="8640"/>
          </w:tcPr>
          <w:p>
            <w:r>
              <w:rPr>
                <w:sz w:val="20"/>
              </w:rPr>
              <w:t>1st of 3 stakeholder, advisory and technical committee meetings held during schematic design</w:t>
            </w:r>
          </w:p>
        </w:tc>
        <w:tc>
          <w:tcPr>
            <w:tcW w:type="dxa" w:w="2160"/>
          </w:tcPr>
          <w:p>
            <w:pPr>
              <w:jc w:val="right"/>
            </w:pPr>
            <w:r>
              <w:rPr>
                <w:sz w:val="20"/>
              </w:rPr>
              <w:t>January 31, 2024</w:t>
            </w:r>
          </w:p>
        </w:tc>
      </w:tr>
      <w:tr>
        <w:tc>
          <w:tcPr>
            <w:tcW w:type="dxa" w:w="8640"/>
          </w:tcPr>
          <w:p>
            <w:r>
              <w:rPr>
                <w:sz w:val="20"/>
              </w:rPr>
              <w:t>Dakota Tribal convening held</w:t>
            </w:r>
          </w:p>
        </w:tc>
        <w:tc>
          <w:tcPr>
            <w:tcW w:type="dxa" w:w="2160"/>
          </w:tcPr>
          <w:p>
            <w:pPr>
              <w:jc w:val="right"/>
            </w:pPr>
            <w:r>
              <w:rPr>
                <w:sz w:val="20"/>
              </w:rPr>
              <w:t>January 31, 2024</w:t>
            </w:r>
          </w:p>
        </w:tc>
      </w:tr>
    </w:tbl>
    <w:p/>
    <w:p>
      <w:pPr>
        <w:pStyle w:val="Heading3"/>
        <w:spacing w:after="60"/>
      </w:pPr>
      <w:r>
        <w:rPr>
          <w:b/>
          <w:color w:val="254885"/>
          <w:sz w:val="26"/>
        </w:rPr>
        <w:t>Activity 4: Restoration, conservation and resilience plan implementation</w:t>
      </w:r>
    </w:p>
    <w:p>
      <w:r>
        <w:rPr>
          <w:b/>
        </w:rPr>
        <w:t xml:space="preserve">Activity Budget: </w:t>
      </w:r>
      <w:r>
        <w:t>$300,000</w:t>
      </w:r>
    </w:p>
    <w:p>
      <w:r>
        <w:rPr>
          <w:b/>
        </w:rPr>
        <w:t xml:space="preserve">Activity Description: </w:t>
        <w:br/>
      </w:r>
      <w:r>
        <w:t xml:space="preserve">Ensuring successful protection and restoration of the habitat requires deep coordination and collaboration. Building on the East Side River District convenings the Conservancy has already hosted, we will lead a growing coalition of partners to ensure that conservation activities are done in a way that draws on the expertise of a range of partners. Given the number of projects happening concurrently in the area, the Conservancy must coordinate thoughtful and thorough communication and shared visioning so that our approach is comprehensive, integrated, and collaborative.  </w:t>
        <w:br/>
        <w:t xml:space="preserve"> </w:t>
        <w:br/>
        <w:t xml:space="preserve">For example, guided by that approach to collaboration, we will implement plans such as flood plain restoration (e.g., seed planting) and clean-up of water ways that feed into Pig’s Eye Lake by coordinating closely with the Pig’s Eye Lake landfill clean-up task force. </w:t>
        <w:br/>
        <w:t xml:space="preserve"> </w:t>
        <w:br/>
        <w:t>This approach to convening and collaborating has served us well in the River Learning Center and River Balcony projects. Given that those projects are slightly further along on their timelines, we can use their success as a roadmap for integrating partners and projects for the ESRD.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Restoration, conservation, resilience as identified in planning begins</w:t>
            </w:r>
          </w:p>
        </w:tc>
        <w:tc>
          <w:tcPr>
            <w:tcW w:type="dxa" w:w="2160"/>
          </w:tcPr>
          <w:p>
            <w:pPr>
              <w:jc w:val="right"/>
            </w:pPr>
            <w:r>
              <w:rPr>
                <w:sz w:val="20"/>
              </w:rPr>
              <w:t>March 31, 2025</w:t>
            </w:r>
          </w:p>
        </w:tc>
      </w:tr>
      <w:tr>
        <w:tc>
          <w:tcPr>
            <w:tcW w:type="dxa" w:w="8640"/>
          </w:tcPr>
          <w:p>
            <w:r>
              <w:rPr>
                <w:sz w:val="20"/>
              </w:rPr>
              <w:t>Initial landscape restoration work completed</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Alice Messer</w:t>
            </w:r>
          </w:p>
        </w:tc>
        <w:tc>
          <w:tcPr>
            <w:tcW w:type="dxa" w:w="1440"/>
          </w:tcPr>
          <w:p>
            <w:r>
              <w:rPr>
                <w:sz w:val="20"/>
              </w:rPr>
              <w:t>City of St. Paul Parks and Recreation</w:t>
            </w:r>
          </w:p>
        </w:tc>
        <w:tc>
          <w:tcPr>
            <w:tcW w:type="dxa" w:w="6840"/>
          </w:tcPr>
          <w:p>
            <w:r>
              <w:rPr>
                <w:sz w:val="20"/>
              </w:rPr>
              <w:t>Landowner and oversight of capital projects related to design and implementation in East Side River District</w:t>
            </w:r>
          </w:p>
        </w:tc>
        <w:tc>
          <w:tcPr>
            <w:tcW w:type="dxa" w:w="1080"/>
          </w:tcPr>
          <w:p>
            <w:r>
              <w:rPr>
                <w:sz w:val="20"/>
              </w:rPr>
              <w:t>Yes</w:t>
            </w:r>
          </w:p>
        </w:tc>
      </w:tr>
      <w:tr>
        <w:tc>
          <w:tcPr>
            <w:tcW w:type="dxa" w:w="1440"/>
          </w:tcPr>
          <w:p>
            <w:r>
              <w:rPr>
                <w:sz w:val="20"/>
              </w:rPr>
              <w:t>Sam Olbekson</w:t>
            </w:r>
          </w:p>
        </w:tc>
        <w:tc>
          <w:tcPr>
            <w:tcW w:type="dxa" w:w="1440"/>
          </w:tcPr>
          <w:p>
            <w:r>
              <w:rPr>
                <w:sz w:val="20"/>
              </w:rPr>
              <w:t>Full Circle Indigenous Design</w:t>
            </w:r>
          </w:p>
        </w:tc>
        <w:tc>
          <w:tcPr>
            <w:tcW w:type="dxa" w:w="6840"/>
          </w:tcPr>
          <w:p>
            <w:r>
              <w:rPr>
                <w:sz w:val="20"/>
              </w:rPr>
              <w:t>Community engagement of Dakota Peoples throughout design process of East Side River District</w:t>
            </w:r>
          </w:p>
        </w:tc>
        <w:tc>
          <w:tcPr>
            <w:tcW w:type="dxa" w:w="1080"/>
          </w:tcPr>
          <w:p>
            <w:r>
              <w:rPr>
                <w:sz w:val="20"/>
              </w:rPr>
              <w:t>Yes</w:t>
            </w:r>
          </w:p>
        </w:tc>
      </w:tr>
      <w:tr>
        <w:tc>
          <w:tcPr>
            <w:tcW w:type="dxa" w:w="1440"/>
          </w:tcPr>
          <w:p>
            <w:r>
              <w:rPr>
                <w:sz w:val="20"/>
              </w:rPr>
              <w:t>Maggie Lorenz</w:t>
            </w:r>
          </w:p>
        </w:tc>
        <w:tc>
          <w:tcPr>
            <w:tcW w:type="dxa" w:w="1440"/>
          </w:tcPr>
          <w:p>
            <w:r>
              <w:rPr>
                <w:sz w:val="20"/>
              </w:rPr>
              <w:t>Lower Phalen Creek Project</w:t>
            </w:r>
          </w:p>
        </w:tc>
        <w:tc>
          <w:tcPr>
            <w:tcW w:type="dxa" w:w="6840"/>
          </w:tcPr>
          <w:p>
            <w:r>
              <w:rPr>
                <w:sz w:val="20"/>
              </w:rPr>
              <w:t>Community engagement and project partner to align East Side River District project with Lower Phalen Creek projects, particularly Wakan Tipi</w:t>
            </w:r>
          </w:p>
        </w:tc>
        <w:tc>
          <w:tcPr>
            <w:tcW w:type="dxa" w:w="1080"/>
          </w:tcPr>
          <w:p>
            <w:r>
              <w:rPr>
                <w:sz w:val="20"/>
              </w:rPr>
              <w:t>Yes</w:t>
            </w:r>
          </w:p>
        </w:tc>
      </w:tr>
      <w:tr>
        <w:tc>
          <w:tcPr>
            <w:tcW w:type="dxa" w:w="1440"/>
          </w:tcPr>
          <w:p>
            <w:r>
              <w:rPr>
                <w:sz w:val="20"/>
              </w:rPr>
              <w:t>John Slade (interim executive director)</w:t>
            </w:r>
          </w:p>
        </w:tc>
        <w:tc>
          <w:tcPr>
            <w:tcW w:type="dxa" w:w="1440"/>
          </w:tcPr>
          <w:p>
            <w:r>
              <w:rPr>
                <w:sz w:val="20"/>
              </w:rPr>
              <w:t>District 1 Planning Council (Southeast Community Organization</w:t>
            </w:r>
          </w:p>
        </w:tc>
        <w:tc>
          <w:tcPr>
            <w:tcW w:type="dxa" w:w="6840"/>
          </w:tcPr>
          <w:p>
            <w:r>
              <w:rPr>
                <w:sz w:val="20"/>
              </w:rPr>
              <w:t>City of St. Paul’s District Planning Council  responsible for community engagement and design input.</w:t>
            </w:r>
          </w:p>
        </w:tc>
        <w:tc>
          <w:tcPr>
            <w:tcW w:type="dxa" w:w="1080"/>
          </w:tcPr>
          <w:p>
            <w:r>
              <w:rPr>
                <w:sz w:val="20"/>
              </w:rPr>
              <w:t>No</w:t>
            </w:r>
          </w:p>
        </w:tc>
      </w:tr>
      <w:tr>
        <w:tc>
          <w:tcPr>
            <w:tcW w:type="dxa" w:w="1440"/>
          </w:tcPr>
          <w:p>
            <w:r>
              <w:rPr>
                <w:sz w:val="20"/>
              </w:rPr>
              <w:t>Matthew Tucker Blythe</w:t>
            </w:r>
          </w:p>
        </w:tc>
        <w:tc>
          <w:tcPr>
            <w:tcW w:type="dxa" w:w="1440"/>
          </w:tcPr>
          <w:p>
            <w:r>
              <w:rPr>
                <w:sz w:val="20"/>
              </w:rPr>
              <w:t>National Park Service</w:t>
            </w:r>
          </w:p>
        </w:tc>
        <w:tc>
          <w:tcPr>
            <w:tcW w:type="dxa" w:w="6840"/>
          </w:tcPr>
          <w:p>
            <w:r>
              <w:rPr>
                <w:sz w:val="20"/>
              </w:rPr>
              <w:t>Superintendent of Mississippi National Park Recreation Area, programming in and around East Side River District and community engagement in design process and implementation.</w:t>
            </w:r>
          </w:p>
        </w:tc>
        <w:tc>
          <w:tcPr>
            <w:tcW w:type="dxa" w:w="1080"/>
          </w:tcPr>
          <w:p>
            <w:r>
              <w:rPr>
                <w:sz w:val="20"/>
              </w:rPr>
              <w:t>No</w:t>
            </w:r>
          </w:p>
        </w:tc>
      </w:tr>
      <w:tr>
        <w:tc>
          <w:tcPr>
            <w:tcW w:type="dxa" w:w="1440"/>
          </w:tcPr>
          <w:p>
            <w:r>
              <w:rPr>
                <w:sz w:val="20"/>
              </w:rPr>
              <w:t>Katie Nyberg</w:t>
            </w:r>
          </w:p>
        </w:tc>
        <w:tc>
          <w:tcPr>
            <w:tcW w:type="dxa" w:w="1440"/>
          </w:tcPr>
          <w:p>
            <w:r>
              <w:rPr>
                <w:sz w:val="20"/>
              </w:rPr>
              <w:t>Mississippi Park Connection</w:t>
            </w:r>
          </w:p>
        </w:tc>
        <w:tc>
          <w:tcPr>
            <w:tcW w:type="dxa" w:w="6840"/>
          </w:tcPr>
          <w:p>
            <w:r>
              <w:rPr>
                <w:sz w:val="20"/>
              </w:rPr>
              <w:t>Fundraising, programming and community engagement for East Side River District design and implementation.</w:t>
            </w:r>
          </w:p>
        </w:tc>
        <w:tc>
          <w:tcPr>
            <w:tcW w:type="dxa" w:w="1080"/>
          </w:tcPr>
          <w:p>
            <w:r>
              <w:rPr>
                <w:sz w:val="20"/>
              </w:rPr>
              <w:t>No</w:t>
            </w:r>
          </w:p>
        </w:tc>
      </w:tr>
      <w:tr>
        <w:tc>
          <w:tcPr>
            <w:tcW w:type="dxa" w:w="1440"/>
          </w:tcPr>
          <w:p>
            <w:r>
              <w:rPr>
                <w:sz w:val="20"/>
              </w:rPr>
              <w:t>Jonny Johnson</w:t>
            </w:r>
          </w:p>
        </w:tc>
        <w:tc>
          <w:tcPr>
            <w:tcW w:type="dxa" w:w="1440"/>
          </w:tcPr>
          <w:p>
            <w:r>
              <w:rPr>
                <w:sz w:val="20"/>
              </w:rPr>
              <w:t>Prairie Island Indian Community</w:t>
            </w:r>
          </w:p>
        </w:tc>
        <w:tc>
          <w:tcPr>
            <w:tcW w:type="dxa" w:w="6840"/>
          </w:tcPr>
          <w:p>
            <w:r>
              <w:rPr>
                <w:sz w:val="20"/>
              </w:rPr>
              <w:t>Stakeholder, community engagement and partner in ensuring Dakota voice in design process</w:t>
            </w:r>
          </w:p>
        </w:tc>
        <w:tc>
          <w:tcPr>
            <w:tcW w:type="dxa" w:w="1080"/>
          </w:tcPr>
          <w:p>
            <w:r>
              <w:rPr>
                <w:sz w:val="20"/>
              </w:rPr>
              <w:t>Yes</w:t>
            </w:r>
          </w:p>
        </w:tc>
      </w:tr>
      <w:tr>
        <w:tc>
          <w:tcPr>
            <w:tcW w:type="dxa" w:w="1440"/>
          </w:tcPr>
          <w:p>
            <w:r>
              <w:rPr>
                <w:sz w:val="20"/>
              </w:rPr>
              <w:t>Mary deLaittre</w:t>
            </w:r>
          </w:p>
        </w:tc>
        <w:tc>
          <w:tcPr>
            <w:tcW w:type="dxa" w:w="1440"/>
          </w:tcPr>
          <w:p>
            <w:r>
              <w:rPr>
                <w:sz w:val="20"/>
              </w:rPr>
              <w:t>Great River Passage Conservancy</w:t>
            </w:r>
          </w:p>
        </w:tc>
        <w:tc>
          <w:tcPr>
            <w:tcW w:type="dxa" w:w="6840"/>
          </w:tcPr>
          <w:p>
            <w:r>
              <w:rPr>
                <w:sz w:val="20"/>
              </w:rPr>
              <w:t>Oversight and management of philanthropic and government fundraising and project management oversight for Great River Passage projects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In terms of long-term implementation, the East Side River District will benefit from the Conservancy’s other two capital projects being further along on their timeline, allowing us to use their implementation approaches as a model for the ESRD. Funding-wise, sustainability will be strengthened by being part of our combined capital campaign effort, whose fundraising strategies were informed by our partnership with the City and based on the Como Friends model. Once the ESRD is implemented, we will leverage philanthropic and city support as needed. This ongoing blend of public and private fundraising partnerships will be key to long-term sustainability.</w:t>
      </w:r>
    </w:p>
    <w:p>
      <w:pPr>
        <w:pStyle w:val="Heading2"/>
        <w:spacing w:before="0" w:after="80"/>
      </w:pPr>
      <w:r>
        <w:rPr>
          <w:b/>
          <w:color w:val="2C559C"/>
          <w:sz w:val="28"/>
        </w:rPr>
        <w:t>Project Manager and Organization Qualifications</w:t>
      </w:r>
    </w:p>
    <w:p>
      <w:r>
        <w:rPr>
          <w:b/>
        </w:rPr>
        <w:t xml:space="preserve">Project Manager Name: </w:t>
      </w:r>
      <w:r>
        <w:t>Mary deLaittre</w:t>
      </w:r>
    </w:p>
    <w:p>
      <w:r>
        <w:rPr>
          <w:b/>
        </w:rPr>
        <w:t xml:space="preserve">Job Title: </w:t>
      </w:r>
      <w:r>
        <w:t>Executive Director, Great River Passage Conservancy</w:t>
      </w:r>
    </w:p>
    <w:p>
      <w:r>
        <w:rPr>
          <w:b/>
        </w:rPr>
        <w:t xml:space="preserve">Provide description of the project manager’s qualifications to manage the proposed project. </w:t>
        <w:br/>
      </w:r>
      <w:r>
        <w:t>Mary deLaittre is the Founding Executive Director of the Great River Passage Conservancy and former Manager of the Great River Passage Initiative. Drawing on 25 years of community design experience, she conceives major city-building projects and develops sustainable organizational structures to ensure the long-term success of projects.</w:t>
        <w:br/>
        <w:br/>
        <w:t>As founder and principal of Groundwork: The Foundation for City Building, she has focused on enhancing waterfront development. She led Wayzata’s Lake Effect Park Project, the transformation of the city’s Lake Minnetonka shoreline and the creation of the private fundraising entity for the park – the Lake Effect Conservancy. On behalf of the Minneapolis Park and Recreation Board, she developed and managed RiverFirst, a revitalization effort along 5.5 miles of the Mississippi River. Finally, she co-founded and consulted for 2020 Partners, a public-private partnership that facilitated the transformation of a downtown Minneapolis industrial district into a new urban center.</w:t>
        <w:br/>
        <w:br/>
        <w:t>Previously, deLaittre was the executive director of the Minneapolis Parks Foundation, where she galvanized the organization around a new mission of creating the Next Generation of Parks™. She received a bachelor of arts in art history from Brown University and a masters of architecture with a focus on urban design from the University of Minnesota.</w:t>
      </w:r>
    </w:p>
    <w:p>
      <w:r>
        <w:rPr>
          <w:b/>
        </w:rPr>
        <w:t xml:space="preserve">Organization: </w:t>
      </w:r>
      <w:r>
        <w:t>Great River Passage Conservancy</w:t>
      </w:r>
    </w:p>
    <w:p>
      <w:r>
        <w:rPr>
          <w:b/>
        </w:rPr>
        <w:t xml:space="preserve">Organization Description: </w:t>
        <w:br/>
      </w:r>
      <w:r>
        <w:t xml:space="preserve">The Great River Passage Conservancy rallies philanthropic support for the City of St. Paul’s Great River Passage Initiative. Our mission—to raise resources that support the community’s vision for connecting Saint Paul’s two greatest assets, its people and the Mississippi River—responds to environmental challenges as we partner with the city to advance forward-thinking initiatives that preserve and protect our 17 miles of river. To that end, the Conservancy is focused on three key capital projects:  </w:t>
        <w:br/>
        <w:t xml:space="preserve">  </w:t>
        <w:br/>
        <w:t xml:space="preserve">• The Mississippi River Learning Center is a city-led project combining a mixed-use, river-focused space that will serve as a national gateway to the Mississippi and provide year-round experiences of the land, water, and culture of the river.  </w:t>
        <w:br/>
        <w:t xml:space="preserve">  </w:t>
        <w:br/>
        <w:t xml:space="preserve">• The River Balcony is a proposed 1.5-mile promenade along the downtown river bluff that will connect public spaces, civic landmarks, and development sites, providing new connections to the river.  </w:t>
        <w:br/>
        <w:t xml:space="preserve">  </w:t>
        <w:br/>
        <w:t>• The East Side River District (ESRD) encompasses a dynamic 1000-acre urban landscape that reveals the complex systems and stories of the East Side, heals a compromised landscape, connects the area to the broader city, and protects culturally sacred sites and sensitive ecological systems. The ESRD is the focus of this proposal.</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Mary delaittre</w:t>
            </w:r>
          </w:p>
        </w:tc>
        <w:tc>
          <w:tcPr>
            <w:tcW w:type="dxa" w:w="1440"/>
          </w:tcPr>
          <w:p>
            <w:r>
              <w:rPr>
                <w:sz w:val="20"/>
              </w:rPr>
              <w:t>Professional or Technical Service Contract</w:t>
            </w:r>
          </w:p>
        </w:tc>
        <w:tc>
          <w:tcPr>
            <w:tcW w:type="dxa" w:w="5472"/>
          </w:tcPr>
          <w:p>
            <w:r>
              <w:rPr>
                <w:sz w:val="20"/>
              </w:rPr>
              <w:t>Strategic direction and oversight of project management; partner and collaboration management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$72,000</w:t>
            </w:r>
          </w:p>
        </w:tc>
      </w:tr>
      <w:tr>
        <w:tc>
          <w:tcPr>
            <w:tcW w:type="dxa" w:w="864"/>
          </w:tcPr>
          <w:p>
            <w:r>
              <w:rPr>
                <w:sz w:val="20"/>
              </w:rPr>
              <w:t>Laura Bray</w:t>
            </w:r>
          </w:p>
        </w:tc>
        <w:tc>
          <w:tcPr>
            <w:tcW w:type="dxa" w:w="1440"/>
          </w:tcPr>
          <w:p>
            <w:r>
              <w:rPr>
                <w:sz w:val="20"/>
              </w:rPr>
              <w:t>Professional or Technical Service Contract</w:t>
            </w:r>
          </w:p>
        </w:tc>
        <w:tc>
          <w:tcPr>
            <w:tcW w:type="dxa" w:w="5472"/>
          </w:tcPr>
          <w:p>
            <w:r>
              <w:rPr>
                <w:sz w:val="20"/>
              </w:rPr>
              <w:t>Communications support for community engagement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0.63</w:t>
            </w:r>
          </w:p>
        </w:tc>
        <w:tc>
          <w:tcPr>
            <w:tcW w:type="dxa" w:w="360"/>
          </w:tcPr>
          <w:p>
            <w:r>
              <w:rPr>
                <w:sz w:val="20"/>
              </w:rPr>
            </w:r>
          </w:p>
        </w:tc>
        <w:tc>
          <w:tcPr>
            <w:tcW w:type="dxa" w:w="1152"/>
          </w:tcPr>
          <w:p>
            <w:pPr>
              <w:jc w:val="right"/>
            </w:pPr>
            <w:r>
              <w:rPr>
                <w:sz w:val="20"/>
              </w:rPr>
              <w:t>$35,000</w:t>
            </w:r>
          </w:p>
        </w:tc>
      </w:tr>
      <w:tr>
        <w:tc>
          <w:tcPr>
            <w:tcW w:type="dxa" w:w="864"/>
          </w:tcPr>
          <w:p>
            <w:r>
              <w:rPr>
                <w:sz w:val="20"/>
              </w:rPr>
              <w:t>City of St. Paul</w:t>
            </w:r>
          </w:p>
        </w:tc>
        <w:tc>
          <w:tcPr>
            <w:tcW w:type="dxa" w:w="1440"/>
          </w:tcPr>
          <w:p>
            <w:r>
              <w:rPr>
                <w:sz w:val="20"/>
              </w:rPr>
              <w:t>Sub award</w:t>
            </w:r>
          </w:p>
        </w:tc>
        <w:tc>
          <w:tcPr>
            <w:tcW w:type="dxa" w:w="5472"/>
          </w:tcPr>
          <w:p>
            <w:r>
              <w:rPr>
                <w:sz w:val="20"/>
              </w:rPr>
              <w:t>Project Management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$205,000</w:t>
            </w:r>
          </w:p>
        </w:tc>
      </w:tr>
      <w:tr>
        <w:tc>
          <w:tcPr>
            <w:tcW w:type="dxa" w:w="864"/>
          </w:tcPr>
          <w:p>
            <w:r>
              <w:rPr>
                <w:sz w:val="20"/>
              </w:rPr>
              <w:t>Full Circle Indigenous Design</w:t>
            </w:r>
          </w:p>
        </w:tc>
        <w:tc>
          <w:tcPr>
            <w:tcW w:type="dxa" w:w="1440"/>
          </w:tcPr>
          <w:p>
            <w:r>
              <w:rPr>
                <w:sz w:val="20"/>
              </w:rPr>
              <w:t>Professional or Technical Service Contract</w:t>
            </w:r>
          </w:p>
        </w:tc>
        <w:tc>
          <w:tcPr>
            <w:tcW w:type="dxa" w:w="5472"/>
          </w:tcPr>
          <w:p>
            <w:r>
              <w:rPr>
                <w:sz w:val="20"/>
              </w:rPr>
              <w:t>Community engagement for Dakota Tribes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0.38</w:t>
            </w:r>
          </w:p>
        </w:tc>
        <w:tc>
          <w:tcPr>
            <w:tcW w:type="dxa" w:w="360"/>
          </w:tcPr>
          <w:p>
            <w:r>
              <w:rPr>
                <w:sz w:val="20"/>
              </w:rPr>
            </w:r>
          </w:p>
        </w:tc>
        <w:tc>
          <w:tcPr>
            <w:tcW w:type="dxa" w:w="1152"/>
          </w:tcPr>
          <w:p>
            <w:pPr>
              <w:jc w:val="right"/>
            </w:pPr>
            <w:r>
              <w:rPr>
                <w:sz w:val="20"/>
              </w:rPr>
              <w:t>$48,000</w:t>
            </w:r>
          </w:p>
        </w:tc>
      </w:tr>
      <w:tr>
        <w:tc>
          <w:tcPr>
            <w:tcW w:type="dxa" w:w="864"/>
          </w:tcPr>
          <w:p>
            <w:r>
              <w:rPr>
                <w:sz w:val="20"/>
              </w:rPr>
              <w:t>City of St. Paul</w:t>
            </w:r>
          </w:p>
        </w:tc>
        <w:tc>
          <w:tcPr>
            <w:tcW w:type="dxa" w:w="1440"/>
          </w:tcPr>
          <w:p>
            <w:r>
              <w:rPr>
                <w:sz w:val="20"/>
              </w:rPr>
              <w:t>Sub award</w:t>
            </w:r>
          </w:p>
        </w:tc>
        <w:tc>
          <w:tcPr>
            <w:tcW w:type="dxa" w:w="5472"/>
          </w:tcPr>
          <w:p>
            <w:r>
              <w:rPr>
                <w:sz w:val="20"/>
              </w:rPr>
              <w:t>Will engage design firm through public rfp process to complete schematic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2.25</w:t>
            </w:r>
          </w:p>
        </w:tc>
        <w:tc>
          <w:tcPr>
            <w:tcW w:type="dxa" w:w="360"/>
          </w:tcPr>
          <w:p>
            <w:r>
              <w:rPr>
                <w:sz w:val="20"/>
              </w:rPr>
            </w:r>
          </w:p>
        </w:tc>
        <w:tc>
          <w:tcPr>
            <w:tcW w:type="dxa" w:w="1152"/>
          </w:tcPr>
          <w:p>
            <w:pPr>
              <w:jc w:val="right"/>
            </w:pPr>
            <w:r>
              <w:rPr>
                <w:sz w:val="20"/>
              </w:rPr>
              <w:t>$600,000</w:t>
            </w:r>
          </w:p>
        </w:tc>
      </w:tr>
      <w:tr>
        <w:tc>
          <w:tcPr>
            <w:tcW w:type="dxa" w:w="864"/>
          </w:tcPr>
          <w:p>
            <w:r>
              <w:rPr>
                <w:sz w:val="20"/>
              </w:rPr>
              <w:t>AmplifyDMC</w:t>
            </w:r>
          </w:p>
        </w:tc>
        <w:tc>
          <w:tcPr>
            <w:tcW w:type="dxa" w:w="1440"/>
          </w:tcPr>
          <w:p>
            <w:r>
              <w:rPr>
                <w:sz w:val="20"/>
              </w:rPr>
              <w:t>Professional or Technical Service Contract</w:t>
            </w:r>
          </w:p>
        </w:tc>
        <w:tc>
          <w:tcPr>
            <w:tcW w:type="dxa" w:w="5472"/>
          </w:tcPr>
          <w:p>
            <w:r>
              <w:rPr>
                <w:sz w:val="20"/>
              </w:rPr>
              <w:t>Communications, copy-writing and graphic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$20,000</w:t>
            </w:r>
          </w:p>
        </w:tc>
      </w:tr>
      <w:tr>
        <w:tc>
          <w:tcPr>
            <w:tcW w:type="dxa" w:w="864"/>
          </w:tcPr>
          <w:p>
            <w:r>
              <w:rPr>
                <w:sz w:val="20"/>
              </w:rPr>
              <w:t>City of St. Paul</w:t>
            </w:r>
          </w:p>
        </w:tc>
        <w:tc>
          <w:tcPr>
            <w:tcW w:type="dxa" w:w="1440"/>
          </w:tcPr>
          <w:p>
            <w:r>
              <w:rPr>
                <w:sz w:val="20"/>
              </w:rPr>
              <w:t>Sub award</w:t>
            </w:r>
          </w:p>
        </w:tc>
        <w:tc>
          <w:tcPr>
            <w:tcW w:type="dxa" w:w="5472"/>
          </w:tcPr>
          <w:p>
            <w:r>
              <w:rPr>
                <w:sz w:val="20"/>
              </w:rPr>
              <w:t>Will engage design firm through public RFP process to complete design and construction documents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$1,000,000</w:t>
            </w:r>
          </w:p>
        </w:tc>
      </w:tr>
      <w:tr>
        <w:tc>
          <w:tcPr>
            <w:tcW w:type="dxa" w:w="864"/>
          </w:tcPr>
          <w:p>
            <w:r>
              <w:rPr>
                <w:sz w:val="20"/>
              </w:rPr>
              <w:t>Lower Phalen Creek Project</w:t>
            </w:r>
          </w:p>
        </w:tc>
        <w:tc>
          <w:tcPr>
            <w:tcW w:type="dxa" w:w="1440"/>
          </w:tcPr>
          <w:p>
            <w:r>
              <w:rPr>
                <w:sz w:val="20"/>
              </w:rPr>
              <w:t>Sub award</w:t>
            </w:r>
          </w:p>
        </w:tc>
        <w:tc>
          <w:tcPr>
            <w:tcW w:type="dxa" w:w="5472"/>
          </w:tcPr>
          <w:p>
            <w:r>
              <w:rPr>
                <w:sz w:val="20"/>
              </w:rPr>
              <w:t>Community engagement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$10,000</w:t>
            </w:r>
          </w:p>
        </w:tc>
      </w:tr>
      <w:tr>
        <w:tc>
          <w:tcPr>
            <w:tcW w:type="dxa" w:w="864"/>
          </w:tcPr>
          <w:p>
            <w:r>
              <w:rPr>
                <w:sz w:val="20"/>
              </w:rPr>
              <w:t>Dakota Tribe TBD</w:t>
            </w:r>
          </w:p>
        </w:tc>
        <w:tc>
          <w:tcPr>
            <w:tcW w:type="dxa" w:w="1440"/>
          </w:tcPr>
          <w:p>
            <w:r>
              <w:rPr>
                <w:sz w:val="20"/>
              </w:rPr>
              <w:t>Sub award</w:t>
            </w:r>
          </w:p>
        </w:tc>
        <w:tc>
          <w:tcPr>
            <w:tcW w:type="dxa" w:w="5472"/>
          </w:tcPr>
          <w:p>
            <w:r>
              <w:rPr>
                <w:sz w:val="20"/>
              </w:rPr>
              <w:t>Community engagement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$10,000</w:t>
            </w:r>
          </w:p>
        </w:tc>
      </w:tr>
      <w:tr>
        <w:tc>
          <w:tcPr>
            <w:tcW w:type="dxa" w:w="864"/>
          </w:tcPr>
          <w:p>
            <w:r>
              <w:rPr>
                <w:sz w:val="20"/>
              </w:rPr>
              <w:t>City of St. Paul</w:t>
            </w:r>
          </w:p>
        </w:tc>
        <w:tc>
          <w:tcPr>
            <w:tcW w:type="dxa" w:w="1440"/>
          </w:tcPr>
          <w:p>
            <w:r>
              <w:rPr>
                <w:sz w:val="20"/>
              </w:rPr>
              <w:t>Professional or Technical Service Contract</w:t>
            </w:r>
          </w:p>
        </w:tc>
        <w:tc>
          <w:tcPr>
            <w:tcW w:type="dxa" w:w="5472"/>
          </w:tcPr>
          <w:p>
            <w:r>
              <w:rPr>
                <w:sz w:val="20"/>
              </w:rPr>
              <w:t>Preliminary restoration, conservation and resilience activities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0.13</w:t>
            </w:r>
          </w:p>
        </w:tc>
        <w:tc>
          <w:tcPr>
            <w:tcW w:type="dxa" w:w="360"/>
          </w:tcPr>
          <w:p>
            <w:r>
              <w:rPr>
                <w:sz w:val="20"/>
              </w:rPr>
            </w:r>
          </w:p>
        </w:tc>
        <w:tc>
          <w:tcPr>
            <w:tcW w:type="dxa" w:w="1152"/>
          </w:tcPr>
          <w:p>
            <w:pPr>
              <w:jc w:val="right"/>
            </w:pPr>
            <w:r>
              <w:rPr>
                <w:sz w:val="20"/>
              </w:rPr>
              <w:t>$300,000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National Endowment for the Arts</w:t>
            </w:r>
          </w:p>
        </w:tc>
        <w:tc>
          <w:tcPr>
            <w:tcW w:type="dxa" w:w="6120"/>
          </w:tcPr>
          <w:p>
            <w:r>
              <w:rPr>
                <w:sz w:val="20"/>
              </w:rPr>
              <w:t>Support for schematic design</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Cash</w:t>
            </w:r>
          </w:p>
        </w:tc>
        <w:tc>
          <w:tcPr>
            <w:tcW w:type="dxa" w:w="4680"/>
          </w:tcPr>
          <w:p>
            <w:r>
              <w:rPr>
                <w:sz w:val="20"/>
              </w:rPr>
              <w:t>REI Action Fund</w:t>
            </w:r>
          </w:p>
        </w:tc>
        <w:tc>
          <w:tcPr>
            <w:tcW w:type="dxa" w:w="6120"/>
          </w:tcPr>
          <w:p>
            <w:r>
              <w:rPr>
                <w:sz w:val="20"/>
              </w:rPr>
              <w:t>General operating expenses related to East Side River District</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Cash</w:t>
            </w:r>
          </w:p>
        </w:tc>
        <w:tc>
          <w:tcPr>
            <w:tcW w:type="dxa" w:w="4680"/>
          </w:tcPr>
          <w:p>
            <w:r>
              <w:rPr>
                <w:sz w:val="20"/>
              </w:rPr>
              <w:t>Irwin Andrew Porter Foundation</w:t>
            </w:r>
          </w:p>
        </w:tc>
        <w:tc>
          <w:tcPr>
            <w:tcW w:type="dxa" w:w="6120"/>
          </w:tcPr>
          <w:p>
            <w:r>
              <w:rPr>
                <w:sz w:val="20"/>
              </w:rPr>
              <w:t>Schematic Design</w:t>
            </w:r>
          </w:p>
        </w:tc>
        <w:tc>
          <w:tcPr>
            <w:tcW w:type="dxa" w:w="1080"/>
          </w:tcPr>
          <w:p>
            <w:r>
              <w:rPr>
                <w:sz w:val="20"/>
              </w:rPr>
              <w:t>Pending</w:t>
            </w:r>
          </w:p>
        </w:tc>
        <w:tc>
          <w:tcPr>
            <w:tcW w:type="dxa" w:w="1440"/>
          </w:tcPr>
          <w:p>
            <w:pPr>
              <w:jc w:val="right"/>
            </w:pPr>
            <w:r>
              <w:rPr>
                <w:sz w:val="20"/>
              </w:rPr>
              <w:t>$50,000</w:t>
            </w:r>
          </w:p>
        </w:tc>
      </w:tr>
      <w:tr>
        <w:tc>
          <w:tcPr>
            <w:tcW w:type="dxa" w:w="1080"/>
          </w:tcPr>
          <w:p>
            <w:r>
              <w:rPr>
                <w:sz w:val="20"/>
              </w:rPr>
              <w:t>Cash</w:t>
            </w:r>
          </w:p>
        </w:tc>
        <w:tc>
          <w:tcPr>
            <w:tcW w:type="dxa" w:w="4680"/>
          </w:tcPr>
          <w:p>
            <w:r>
              <w:rPr>
                <w:sz w:val="20"/>
              </w:rPr>
              <w:t>Canadian Pacific</w:t>
            </w:r>
          </w:p>
        </w:tc>
        <w:tc>
          <w:tcPr>
            <w:tcW w:type="dxa" w:w="6120"/>
          </w:tcPr>
          <w:p>
            <w:r>
              <w:rPr>
                <w:sz w:val="20"/>
              </w:rPr>
              <w:t>Schematic design and community engagement for East Side River District</w:t>
            </w:r>
          </w:p>
        </w:tc>
        <w:tc>
          <w:tcPr>
            <w:tcW w:type="dxa" w:w="1080"/>
          </w:tcPr>
          <w:p>
            <w:r>
              <w:rPr>
                <w:sz w:val="20"/>
              </w:rPr>
              <w:t>Pending</w:t>
            </w:r>
          </w:p>
        </w:tc>
        <w:tc>
          <w:tcPr>
            <w:tcW w:type="dxa" w:w="1440"/>
          </w:tcPr>
          <w:p>
            <w:pPr>
              <w:jc w:val="right"/>
            </w:pPr>
            <w:r>
              <w:rPr>
                <w:sz w:val="20"/>
              </w:rPr>
              <w:t>$50,000</w:t>
            </w:r>
          </w:p>
        </w:tc>
      </w:tr>
      <w:tr>
        <w:tc>
          <w:tcPr>
            <w:tcW w:type="dxa" w:w="1080"/>
          </w:tcPr>
          <w:p>
            <w:r>
              <w:rPr>
                <w:sz w:val="20"/>
              </w:rPr>
              <w:t>Cash</w:t>
            </w:r>
          </w:p>
        </w:tc>
        <w:tc>
          <w:tcPr>
            <w:tcW w:type="dxa" w:w="4680"/>
          </w:tcPr>
          <w:p>
            <w:r>
              <w:rPr>
                <w:sz w:val="20"/>
              </w:rPr>
              <w:t>Saint Paul Regional Water Services</w:t>
            </w:r>
          </w:p>
        </w:tc>
        <w:tc>
          <w:tcPr>
            <w:tcW w:type="dxa" w:w="6120"/>
          </w:tcPr>
          <w:p>
            <w:r>
              <w:rPr>
                <w:sz w:val="20"/>
              </w:rPr>
              <w:t>Schematic Design Support</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East Side River District</w:t>
            </w:r>
          </w:p>
        </w:tc>
        <w:tc>
          <w:tcPr>
            <w:tcW w:type="dxa" w:w="1440"/>
          </w:tcPr>
          <w:p>
            <w:r>
              <w:rPr>
                <w:sz w:val="20"/>
              </w:rPr>
              <w:t>Ramsey</w:t>
            </w:r>
          </w:p>
        </w:tc>
        <w:tc>
          <w:tcPr>
            <w:tcW w:type="dxa" w:w="3888"/>
          </w:tcPr>
          <w:p>
            <w:r>
              <w:rPr>
                <w:sz w:val="20"/>
              </w:rPr>
              <w:t>Mississippi flyway bird migration route that converges with an industrial landscape that includes shipping barges, multiple railyards, water treatment and wood-chipping facilities, and two Hazardous Superfund sites</w:t>
            </w:r>
          </w:p>
        </w:tc>
        <w:tc>
          <w:tcPr>
            <w:tcW w:type="dxa" w:w="1080"/>
          </w:tcPr>
          <w:p>
            <w:r>
              <w:rPr>
                <w:sz w:val="20"/>
              </w:rPr>
              <w:t>Restoration</w:t>
            </w:r>
          </w:p>
        </w:tc>
        <w:tc>
          <w:tcPr>
            <w:tcW w:type="dxa" w:w="432"/>
          </w:tcPr>
          <w:p>
            <w:pPr>
              <w:jc w:val="right"/>
            </w:pPr>
            <w:r>
              <w:rPr>
                <w:sz w:val="20"/>
              </w:rPr>
              <w:t>1,000</w:t>
            </w:r>
          </w:p>
        </w:tc>
        <w:tc>
          <w:tcPr>
            <w:tcW w:type="dxa" w:w="432"/>
          </w:tcPr>
          <w:p>
            <w:pPr>
              <w:jc w:val="right"/>
            </w:pPr>
            <w:r>
              <w:rPr>
                <w:sz w:val="20"/>
              </w:rPr>
              <w:t>-</w:t>
            </w:r>
          </w:p>
        </w:tc>
        <w:tc>
          <w:tcPr>
            <w:tcW w:type="dxa" w:w="1080"/>
          </w:tcPr>
          <w:p>
            <w:pPr>
              <w:jc w:val="right"/>
            </w:pPr>
            <w:r>
              <w:rPr>
                <w:sz w:val="20"/>
              </w:rPr>
              <w:t>$33,000,000</w:t>
            </w:r>
          </w:p>
        </w:tc>
        <w:tc>
          <w:tcPr>
            <w:tcW w:type="dxa" w:w="1080"/>
          </w:tcPr>
          <w:p>
            <w:r>
              <w:rPr>
                <w:sz w:val="20"/>
              </w:rPr>
              <w:t>Public</w:t>
            </w:r>
          </w:p>
        </w:tc>
        <w:tc>
          <w:tcPr>
            <w:tcW w:type="dxa" w:w="1728"/>
          </w:tcPr>
          <w:p>
            <w:r>
              <w:rPr>
                <w:sz w:val="20"/>
              </w:rPr>
              <w:t>City of St. Paul</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1,000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$33,000,000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East Side River district area is owned by the City of St. Paul and managed by various city entities.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 xml:space="preserve">The East Side River District planning was prompted by the 2013 long term master plan created by the City of St. Paul for the Great River Passage.  Once finalized, the restoration and management plan will be a part of public record via the City of St. Paul website as well as part of Great River Passage Conservancy organizational records.   </w:t>
        <w:br/>
        <w:t xml:space="preserve"> </w:t>
        <w:br/>
        <w:t>Restoration of the flood plain will seek to protect the flora and fauna, restore the flood plain to native species, and decontaminate any waterways currently impacted by the superfund 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Great River Passage Conservancy will partner with the City of St. Paul and Mississippi Park Connection (MPC) for any identified restoration efforts. MPC has conducted previous restoration efforts along the Mississippi River Recreation Area.  Restoration efforts will utilize and follow the Board of Soil and Water Resources “Native Vegetation Establishment and Enhancement Guidelines”</w:t>
      </w:r>
    </w:p>
    <w:p>
      <w:r>
        <w:rPr>
          <w:b/>
        </w:rPr>
        <w:t xml:space="preserve">4. Describe how the long-term maintenance and management needs of the parcel being restored with these funds will be met and financed into the future. </w:t>
        <w:br/>
      </w:r>
      <w:r>
        <w:t>The restoration and re-wilding effort will be managed in the long term by landowner, the City of St. Paul. Long term maintenance will be managed by the City of St. Paul.  Great River Passage Conservancy will continue to be the City’s partner organization that seeks out additional private, philanthropic support that may be needed in the future.</w:t>
      </w:r>
    </w:p>
    <w:p>
      <w:r>
        <w:rPr>
          <w:b/>
        </w:rPr>
        <w:t xml:space="preserve">5. Describe how consideration will be given to contracting with Conservation Corps of Minnesota for any restoration activities. </w:t>
        <w:br/>
      </w:r>
      <w:r>
        <w:t>Consideration will be given to contracting with Conservation Corps of Minnesota for any appropriate and identified restoration activities. Our partner, Mississippi Park Connection, has collaborated with the CC previously.</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Restoration sites will be evaluated on the success of invasive species control and changes in biodiversity of flora and fauna surveys conducted by our partner and collaborating organizations.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9e99a57a-139.pdf</w:t>
          </w:r>
        </w:hyperlink>
      </w:r>
    </w:p>
    <w:p>
      <w:pPr>
        <w:pStyle w:val="Heading4"/>
        <w:spacing w:before="40" w:after="20"/>
      </w:pPr>
      <w:r>
        <w:rPr>
          <w:b/>
          <w:i/>
          <w:color w:val="000000"/>
          <w:sz w:val="24"/>
        </w:rPr>
        <w:t>Alternate Text for Map</w:t>
      </w:r>
    </w:p>
    <w:p>
      <w:r>
        <w:t>Maps: showing location of East Side River district in City of St. Paul, a more detailed map of East Side River District's boundaries and location details, a layer map showing cultural  and historical locations, parks, industry and ecology layers of the area....</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f541a8c6-dcc.pdf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Authorization Letter GRPC East Side River District</w:t>
            </w:r>
          </w:p>
        </w:tc>
        <w:tc>
          <w:tcPr>
            <w:tcW w:type="dxa" w:w="5400"/>
          </w:tcPr>
          <w:p>
            <w:r>
              <w:rPr>
                <w:sz w:val="20"/>
              </w:rPr>
            </w:r>
            <w:r>
              <w:rPr>
                <w:color w:val="000000" w:themeColor="hyperlink"/>
                <w:sz w:val="20"/>
                <w:u w:val="single"/>
              </w:rPr>
              <w:hyperlink r:id="rId14">
                <w:r>
                  <w:rPr/>
                  <w:t>00f3e6c2-b76.pdf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Photos of East Side River District Site</w:t>
            </w:r>
          </w:p>
        </w:tc>
        <w:tc>
          <w:tcPr>
            <w:tcW w:type="dxa" w:w="5400"/>
          </w:tcPr>
          <w:p>
            <w:r>
              <w:rPr>
                <w:sz w:val="20"/>
              </w:rPr>
            </w:r>
            <w:r>
              <w:rPr>
                <w:color w:val="000000" w:themeColor="hyperlink"/>
                <w:sz w:val="20"/>
                <w:u w:val="single"/>
              </w:rPr>
              <w:hyperlink r:id="rId15">
                <w:r>
                  <w:rPr/>
                  <w:t>e7801345-cb8.pdf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e99a57a-139.pdf" TargetMode="External"/><Relationship Id="rId13" Type="http://schemas.openxmlformats.org/officeDocument/2006/relationships/hyperlink" Target="https://lccmrprojectmgmt.leg.mn/media/financial_capacity/f541a8c6-dcc.pdf" TargetMode="External"/><Relationship Id="rId14" Type="http://schemas.openxmlformats.org/officeDocument/2006/relationships/hyperlink" Target="https://lccmrprojectmgmt.leg.mn/media/attachments/00f3e6c2-b76.pdf" TargetMode="External"/><Relationship Id="rId15" Type="http://schemas.openxmlformats.org/officeDocument/2006/relationships/hyperlink" Target="https://lccmrprojectmgmt.leg.mn/media/attachments/e7801345-c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East Side River District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