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2022-273</w:t>
      </w:r>
    </w:p>
    <w:p>
      <w:r>
        <w:rPr>
          <w:b/>
        </w:rPr>
        <w:t xml:space="preserve">Proposal Title: </w:t>
      </w:r>
      <w:r>
        <w:t>BioBlitzes Engaging Community in Scientific Efforts</w:t>
      </w:r>
    </w:p>
    <w:p/>
    <w:p>
      <w:pPr>
        <w:pStyle w:val="Heading2"/>
        <w:spacing w:before="0" w:after="80"/>
      </w:pPr>
      <w:r>
        <w:rPr>
          <w:b/>
          <w:color w:val="2C559C"/>
          <w:sz w:val="28"/>
        </w:rPr>
        <w:t>Project Manager Information</w:t>
      </w:r>
    </w:p>
    <w:p>
      <w:r>
        <w:rPr>
          <w:b/>
        </w:rPr>
        <w:t xml:space="preserve">Name: </w:t>
      </w:r>
      <w:r>
        <w:t>MaryLynn Pulscher</w:t>
      </w:r>
    </w:p>
    <w:p>
      <w:r>
        <w:rPr>
          <w:b/>
        </w:rPr>
        <w:t xml:space="preserve">Organization: </w:t>
      </w:r>
      <w:r>
        <w:t>Minneapolis Parks and Recreation Board</w:t>
      </w:r>
    </w:p>
    <w:p>
      <w:r>
        <w:rPr>
          <w:b/>
        </w:rPr>
        <w:t xml:space="preserve">Office Telephone: </w:t>
      </w:r>
      <w:r>
        <w:t>(612) 313-7784</w:t>
      </w:r>
    </w:p>
    <w:p>
      <w:r>
        <w:rPr>
          <w:b/>
        </w:rPr>
        <w:t xml:space="preserve">Email: </w:t>
      </w:r>
      <w:r>
        <w:t>mpulscher@minneapolisparks.org</w:t>
      </w:r>
    </w:p>
    <w:p/>
    <w:p>
      <w:pPr>
        <w:pStyle w:val="Heading2"/>
        <w:spacing w:before="0" w:after="80"/>
      </w:pPr>
      <w:r>
        <w:rPr>
          <w:b/>
          <w:color w:val="2C559C"/>
          <w:sz w:val="28"/>
        </w:rPr>
        <w:t>Project Basic Information</w:t>
      </w:r>
    </w:p>
    <w:p>
      <w:r>
        <w:rPr>
          <w:b/>
        </w:rPr>
        <w:t xml:space="preserve">Project Summary: </w:t>
      </w:r>
      <w:r>
        <w:t>MPRB will work strategically with allies and volunteers to collect baseline biodiversity data for neighborhood and regional parks to inspire stewardship and inform habitat restoration work.</w:t>
      </w:r>
    </w:p>
    <w:p>
      <w:r>
        <w:rPr>
          <w:b/>
        </w:rPr>
        <w:t xml:space="preserve">Funds Requested: </w:t>
      </w:r>
      <w:r>
        <w:t>$198,000</w:t>
      </w:r>
    </w:p>
    <w:p>
      <w:r>
        <w:rPr>
          <w:b/>
        </w:rPr>
        <w:t xml:space="preserve">Proposed Project Completion: </w:t>
      </w:r>
      <w:r>
        <w:t>June 30 2024</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Minneapolis Park &amp; Recreation Board’s recent community engagement work to develop a new comprehensive plan, Parks for All, shows that residents have a strong interest in nature and protecting wildlife, and a desire to gain more knowledge about the environment. The MPRB currently lacks baseline biodiversity data for its parks which makes it difficult to monitor the impacts of increased park usage, climate change, or the effectiveness of habitat restoration efforts. Based on the community’s indicated interest in nature, their desire to learn more, and the MPRB’s desire for biodiversity data, the MPRB sees an opportunity to work with allies and community residents to address their needs and interests and at the same time address the MPRB’s need for baseline biodiversity data.</w:t>
      </w:r>
    </w:p>
    <w:p>
      <w:pPr>
        <w:spacing w:after="60"/>
      </w:pPr>
      <w:r>
        <w:rPr>
          <w:b/>
        </w:rPr>
        <w:t>What is your proposed solution to the problem or opportunity discussed above? i.e. What are you seeking funding to do? You will be asked to expand on this in Activities and Milestones.</w:t>
      </w:r>
    </w:p>
    <w:p>
      <w:r>
        <w:t xml:space="preserve">The Minneapolis Park &amp; Recreation Board will work with community allies and volunteers to plan and implement a series of BioBlitzes. BioBlitzes provide participants with an engaging outdoor experience while learning scientific inquiry methods and gaining knowledge about Minnesota’s natural resources. The proposed project centers on citizen and community involvement in volunteer scientific efforts at various size Minneapolis parks. </w:t>
        <w:br/>
        <w:br/>
        <w:t>We propose to:</w:t>
        <w:br/>
        <w:t>•</w:t>
        <w:tab/>
        <w:t xml:space="preserve">Recruit and train volunteers </w:t>
        <w:br/>
        <w:t>•</w:t>
        <w:tab/>
        <w:t>Plan and host a series of BioBlitzes</w:t>
        <w:br/>
        <w:t>•</w:t>
        <w:tab/>
        <w:t xml:space="preserve">Collect biodiversity data for select Minneapolis parks </w:t>
        <w:br/>
        <w:t>•</w:t>
        <w:tab/>
        <w:t>Share findings with project participants, park staff and visitors</w:t>
        <w:br/>
        <w:br/>
        <w:t xml:space="preserve">The MPRB’s project goals are to develop new allies within underserved communities interested in the protection and enhancement of natural resources, to advance a framework that enables the public to regularly engage with scientific monitoring of park biodiversity, and to deepen partnerships with current park and natural resource advocates. </w:t>
        <w:br/>
        <w:br/>
        <w:t>The MPRB plans to continue BioBlitzes after the grant period ends to monitor changes in parks such as impacts of habitat enhancement projects, the effects of extreme weather events, or impact of invasive species. Ongoing monitoring with volunteers would help inform MPRB land management decisions about invasive species, urban wildlife, better protection of intact native plant communities, or shoreline erosion.</w:t>
      </w:r>
    </w:p>
    <w:p>
      <w:pPr>
        <w:spacing w:after="60"/>
      </w:pPr>
      <w:r>
        <w:rPr>
          <w:b/>
        </w:rPr>
        <w:t xml:space="preserve">What are the specific project outcomes as they relate to the public purpose of protection, conservation, preservation, and enhancement of the state’s natural resources? </w:t>
      </w:r>
    </w:p>
    <w:p>
      <w:r>
        <w:t>BioBlitz participants will gain an understanding of scientific survey practices and local biodiversity, get to know new parks, develop a stewardship ethic, and entice people to participate in other community science efforts. The community as a whole will gain a better understanding of their local ecology, will strengthen in-person neighbor to neighbor connections, and similar to how neighborhoods share concerns through the Nextdoor app, BioBlitz participants will learn to use apps like iNaturalist to share nature observations. These experiences will result in a more knowledgeable and informed citizenry who can make better decisions to protect the state’s natural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Coordinate community involvement and logistics for BioBlitzes</w:t>
      </w:r>
    </w:p>
    <w:p>
      <w:r>
        <w:rPr>
          <w:b/>
        </w:rPr>
        <w:t xml:space="preserve">Activity Budget: </w:t>
      </w:r>
      <w:r>
        <w:t>$70,000</w:t>
      </w:r>
    </w:p>
    <w:p>
      <w:r>
        <w:rPr>
          <w:b/>
        </w:rPr>
        <w:t xml:space="preserve">Activity Description: </w:t>
        <w:br/>
      </w:r>
      <w:r>
        <w:t xml:space="preserve">The project objectives are to assure broad involvement of the communities that live near, or frequently visit, selected BioBlitz locations, and to plan a series of inclusive, safe, and meaningful outdoor community science experiences. </w:t>
        <w:br/>
        <w:br/>
        <w:t>•</w:t>
        <w:tab/>
        <w:t xml:space="preserve">Assemble representative groups to collaborate on recruiting and training volunteers; accomplished with MPRB staff and project coordinator, and by working with existing community allies such as Friends groups, partner agencies, and neighborhood groups; with an outcome of broad community involvement in the BioBlitzes. </w:t>
        <w:br/>
        <w:br/>
        <w:t>•</w:t>
        <w:tab/>
        <w:t>Host a series of mini-BioBlitzes to train volunteers on how to use iNaturalist, field guides, dip nets, microscopes, and other tools; accomplished with MPRB staff, project coordinator, groups and individuals that are community allies. The outcome is trained volunteers ready to engage in the ‘big’ BioBlitzes, and strengthened relationships between non-profits, allies and government entities.</w:t>
        <w:br/>
        <w:br/>
        <w:t>•</w:t>
        <w:tab/>
        <w:t>Identify locations for ‘big’ BioBlitzes; accomplished based on intensity of interest within the community, willingness of community to enthusiastically participate in the BioBlitzes, distribution of sites across the park system, and the ability for community science volunteers to discover and engage with a variety of natural features. The outcome will be a representative sampling of parks that encourage broad community involvement with scientific efforts.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3. Identify specific locations where the ‘big’ BioBlitz series will occur</w:t>
            </w:r>
          </w:p>
        </w:tc>
        <w:tc>
          <w:tcPr>
            <w:tcW w:type="dxa" w:w="2160"/>
          </w:tcPr>
          <w:p>
            <w:pPr>
              <w:jc w:val="right"/>
            </w:pPr>
            <w:r>
              <w:rPr>
                <w:sz w:val="20"/>
              </w:rPr>
              <w:t>March 31 2023</w:t>
            </w:r>
          </w:p>
        </w:tc>
      </w:tr>
      <w:tr>
        <w:tc>
          <w:tcPr>
            <w:tcW w:type="dxa" w:w="8640"/>
          </w:tcPr>
          <w:p>
            <w:r>
              <w:rPr>
                <w:sz w:val="20"/>
              </w:rPr>
              <w:t>1.Work with community allies to recruit and train volunteers (ongoing during project)</w:t>
            </w:r>
          </w:p>
        </w:tc>
        <w:tc>
          <w:tcPr>
            <w:tcW w:type="dxa" w:w="2160"/>
          </w:tcPr>
          <w:p>
            <w:pPr>
              <w:jc w:val="right"/>
            </w:pPr>
            <w:r>
              <w:rPr>
                <w:sz w:val="20"/>
              </w:rPr>
              <w:t>May 31 2023</w:t>
            </w:r>
          </w:p>
        </w:tc>
      </w:tr>
      <w:tr>
        <w:tc>
          <w:tcPr>
            <w:tcW w:type="dxa" w:w="8640"/>
          </w:tcPr>
          <w:p>
            <w:r>
              <w:rPr>
                <w:sz w:val="20"/>
              </w:rPr>
              <w:t>2. Host mini-bioblitzes to train volunteers how to use iNaturalist and other tools</w:t>
            </w:r>
          </w:p>
        </w:tc>
        <w:tc>
          <w:tcPr>
            <w:tcW w:type="dxa" w:w="2160"/>
          </w:tcPr>
          <w:p>
            <w:pPr>
              <w:jc w:val="right"/>
            </w:pPr>
            <w:r>
              <w:rPr>
                <w:sz w:val="20"/>
              </w:rPr>
              <w:t>May 31 2023</w:t>
            </w:r>
          </w:p>
        </w:tc>
      </w:tr>
    </w:tbl>
    <w:p/>
    <w:p>
      <w:pPr>
        <w:pStyle w:val="Heading3"/>
        <w:spacing w:after="60"/>
      </w:pPr>
      <w:r>
        <w:rPr>
          <w:b/>
          <w:color w:val="254885"/>
          <w:sz w:val="26"/>
        </w:rPr>
        <w:t>Activity 2: Host BioBlitzes, collect biodiversity data and share findings</w:t>
      </w:r>
    </w:p>
    <w:p>
      <w:r>
        <w:rPr>
          <w:b/>
        </w:rPr>
        <w:t xml:space="preserve">Activity Budget: </w:t>
      </w:r>
      <w:r>
        <w:t>$128,000</w:t>
      </w:r>
    </w:p>
    <w:p>
      <w:r>
        <w:rPr>
          <w:b/>
        </w:rPr>
        <w:t xml:space="preserve">Activity Description: </w:t>
        <w:br/>
      </w:r>
      <w:r>
        <w:t xml:space="preserve">The project objectives are to host a series of BioBlitzes where a broad cadre of trained volunteers and community allies collects biodiversity data; to analyze the data, share the findings, and impact MPRB decision making. </w:t>
        <w:br/>
        <w:br/>
        <w:t xml:space="preserve">Hosting BioBlitzes and collecting biodiversity data at Minneapolis parks will be accomplished with MPRB staff, project coordinator, community allies, neighborhood groups, trained volunteers, and subject experts. Outcomes will be volunteers that are knowledgeable about scientific inquiry methods, a better-informed citizenry, and a wealth of biodiversity data. </w:t>
        <w:br/>
        <w:br/>
        <w:t>Analyzing data and creating a record of findings for each BioBlitz site will be done with MPRB staff, allies and subject experts to help analyze the data. A graphic designer and/or a videomaker will help develop ways to share findings; the visual record will showcase biodiversity of Minneapolis parks.</w:t>
        <w:br/>
        <w:br/>
        <w:t>Sharing BioBlitz findings with volunteers, allies, partners, and park staff will be accomplished and coordinated by MPRB staff and community allies utilizing a variety of means including infographics, social media, videos, language specific newspapers and media. The outcomes will be a sense of accomplishment for BioBlitz participants, a means to honor the work of volunteers, and baseline biodiversity data to inform land management decisions by the MPRB.</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 Host BioBlitzes and collect biodiversity data at urban parks</w:t>
            </w:r>
          </w:p>
        </w:tc>
        <w:tc>
          <w:tcPr>
            <w:tcW w:type="dxa" w:w="2160"/>
          </w:tcPr>
          <w:p>
            <w:pPr>
              <w:jc w:val="right"/>
            </w:pPr>
            <w:r>
              <w:rPr>
                <w:sz w:val="20"/>
              </w:rPr>
              <w:t>June 30 2024</w:t>
            </w:r>
          </w:p>
        </w:tc>
      </w:tr>
      <w:tr>
        <w:tc>
          <w:tcPr>
            <w:tcW w:type="dxa" w:w="8640"/>
          </w:tcPr>
          <w:p>
            <w:r>
              <w:rPr>
                <w:sz w:val="20"/>
              </w:rPr>
              <w:t>2. Analyze data and create a record for each BioBlitz site (ongoing during project)</w:t>
            </w:r>
          </w:p>
        </w:tc>
        <w:tc>
          <w:tcPr>
            <w:tcW w:type="dxa" w:w="2160"/>
          </w:tcPr>
          <w:p>
            <w:pPr>
              <w:jc w:val="right"/>
            </w:pPr>
            <w:r>
              <w:rPr>
                <w:sz w:val="20"/>
              </w:rPr>
              <w:t>June 30 2024</w:t>
            </w:r>
          </w:p>
        </w:tc>
      </w:tr>
      <w:tr>
        <w:tc>
          <w:tcPr>
            <w:tcW w:type="dxa" w:w="8640"/>
          </w:tcPr>
          <w:p>
            <w:r>
              <w:rPr>
                <w:sz w:val="20"/>
              </w:rPr>
              <w:t>3. Share BioBlitz findings with volunteers, allies, partners, park staff (ongoing during project)</w:t>
            </w:r>
          </w:p>
        </w:tc>
        <w:tc>
          <w:tcPr>
            <w:tcW w:type="dxa" w:w="2160"/>
          </w:tcPr>
          <w:p>
            <w:pPr>
              <w:jc w:val="right"/>
            </w:pPr>
            <w:r>
              <w:rPr>
                <w:sz w:val="20"/>
              </w:rPr>
              <w:t>June 30 2024</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MPRB plans to continue BioBlitzes after the grant period ends.  This project will enable the MPRB to develop a successful framework to train volunteers, plan and host BioBlitzes of different sizes, and strengthen relationships with community allies.  It will be a collaborative effort to continue to host regular BioBlitzes and MPRB staff plan to embed some of the work into MPRB's Environmental Management work group. The findings will be shared with MPRB Planning, Natural Resource and Asset Management staff to help shape land management decisions.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Invasive Carp Management Research in Lake Nokomis Subwatershed</w:t>
            </w:r>
          </w:p>
        </w:tc>
        <w:tc>
          <w:tcPr>
            <w:tcW w:type="dxa" w:w="4680"/>
          </w:tcPr>
          <w:p>
            <w:r>
              <w:rPr>
                <w:sz w:val="20"/>
              </w:rPr>
              <w:t>M.L. 2016, Chp. 186, Sec. 2, Subd. 06g</w:t>
            </w:r>
          </w:p>
        </w:tc>
        <w:tc>
          <w:tcPr>
            <w:tcW w:type="dxa" w:w="1440"/>
          </w:tcPr>
          <w:p>
            <w:pPr>
              <w:jc w:val="right"/>
            </w:pPr>
            <w:r>
              <w:rPr>
                <w:sz w:val="20"/>
              </w:rPr>
              <w:t>$189,000</w:t>
            </w:r>
          </w:p>
        </w:tc>
      </w:tr>
      <w:tr>
        <w:tc>
          <w:tcPr>
            <w:tcW w:type="dxa" w:w="4680"/>
          </w:tcPr>
          <w:p>
            <w:r>
              <w:rPr>
                <w:sz w:val="20"/>
              </w:rPr>
              <w:t>Expanding Nature Knowledge and Experience with New Interactive Exhibits at North Mississippi Regional Park</w:t>
            </w:r>
          </w:p>
        </w:tc>
        <w:tc>
          <w:tcPr>
            <w:tcW w:type="dxa" w:w="4680"/>
          </w:tcPr>
          <w:p>
            <w:r>
              <w:rPr>
                <w:sz w:val="20"/>
              </w:rPr>
              <w:t>M.L. 2018, Chp. 214, Art. 4, Sec. 2, Subd. 05h</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MaryLynn Pulscher</w:t>
      </w:r>
    </w:p>
    <w:p>
      <w:r>
        <w:rPr>
          <w:b/>
        </w:rPr>
        <w:t xml:space="preserve">Job Title: </w:t>
      </w:r>
      <w:r>
        <w:t>Environmental Education Manager</w:t>
      </w:r>
    </w:p>
    <w:p>
      <w:r>
        <w:rPr>
          <w:b/>
        </w:rPr>
        <w:t xml:space="preserve">Provide description of the project manager’s qualifications to manage the proposed project. </w:t>
        <w:br/>
      </w:r>
      <w:r>
        <w:t>MaryLynn has more than 25 years of experience with the Minneapolis Park &amp; Recreation Board, and for the last 20 years has managed the Environmental Education work group. She is responsible for the planning, development, implementation and evaluation of environmental education programs, projects, events, and sites. Education sites include the Eloise Butler Wildflower Garden &amp; Bird Sanctuary, JD Rivers’ Children’s Garden, and the Kroening Interpretive Center at North Mississippi Regional Park. Major programs include the Neighborhood Naturalist Program serving 23,000 youth participants at recreation centers across the city each year, aquatic invasive species education and boat inspections, teen employment through the Mississippi River Green Team, plus community events such as the Pollinator Party: A Celebration of Bees, and the bilingual, bicultural Minneapolis Monarch Festival ~ Festival de la Monarca which attracts 10,000 participants annually. She regularly develops partnerships, coordinates collaborative projects, and implements new programs and projects with neighborhood groups, non-profits, and other government entities.</w:t>
      </w:r>
    </w:p>
    <w:p>
      <w:r>
        <w:rPr>
          <w:b/>
        </w:rPr>
        <w:t xml:space="preserve">Organization: </w:t>
      </w:r>
      <w:r>
        <w:t>Minneapolis Parks and Recreation Board</w:t>
      </w:r>
    </w:p>
    <w:p>
      <w:r>
        <w:rPr>
          <w:b/>
        </w:rPr>
        <w:t xml:space="preserve">Organization Description: </w:t>
        <w:br/>
      </w:r>
      <w:r>
        <w:t>The mission of the Minneapolis Park &amp; Recreation Board is to permanently preserve, protect, maintain, improve, and enhance its natural resources, parkland, and recreational opportunities for current and future generations.  With 197 park properties totaling nearly 6,744 acres of land and water, the Minneapolis Park &amp; Recreation Board provides places and recreation opportunities for all people to gather, celebrate, contemplate, and engage in activities that promote health, well-being, community, and the environment. Each year, approximately 18 million visits are made to the nationally acclaimed Minneapolis park system. Its urban forests, natural areas and waters endure and captivate. Its Grand Rounds Parkway system, neighborhood parks, recreation centers and diversified programming have made the Minneapolis park system an important component of what makes Minneapolis a great place to live, play and work.</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To be determined through RFP process</w:t>
            </w:r>
          </w:p>
        </w:tc>
        <w:tc>
          <w:tcPr>
            <w:tcW w:type="dxa" w:w="1440"/>
          </w:tcPr>
          <w:p>
            <w:r>
              <w:rPr>
                <w:sz w:val="20"/>
              </w:rPr>
              <w:t>Sub award</w:t>
            </w:r>
          </w:p>
        </w:tc>
        <w:tc>
          <w:tcPr>
            <w:tcW w:type="dxa" w:w="5472"/>
          </w:tcPr>
          <w:p>
            <w:r>
              <w:rPr>
                <w:sz w:val="20"/>
              </w:rPr>
              <w:t>Overall project and logistic coordination for BioBlitzes including planning meetings with MPRB staff, allies and partners; volunteer trainings at mini-BioBlitzes; promotion, materials acquisition, BioBlitzes day of event logistics, data analysis, record creation, sharing results, evaluation of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$120,000</w:t>
            </w:r>
          </w:p>
        </w:tc>
      </w:tr>
      <w:tr>
        <w:tc>
          <w:tcPr>
            <w:tcW w:type="dxa" w:w="864"/>
          </w:tcPr>
          <w:p>
            <w:r>
              <w:rPr>
                <w:sz w:val="20"/>
              </w:rPr>
              <w:t>To be determined based on BioBlitz sites, community interests</w:t>
            </w:r>
          </w:p>
        </w:tc>
        <w:tc>
          <w:tcPr>
            <w:tcW w:type="dxa" w:w="1440"/>
          </w:tcPr>
          <w:p>
            <w:r>
              <w:rPr>
                <w:sz w:val="20"/>
              </w:rPr>
              <w:t>Sub award</w:t>
            </w:r>
          </w:p>
        </w:tc>
        <w:tc>
          <w:tcPr>
            <w:tcW w:type="dxa" w:w="5472"/>
          </w:tcPr>
          <w:p>
            <w:r>
              <w:rPr>
                <w:sz w:val="20"/>
              </w:rPr>
              <w:t>This would be a series of small contracts for community partners that serve under represented groups and subject expert entities willing to partner in BioBlitzes.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$50,000</w:t>
            </w:r>
          </w:p>
        </w:tc>
      </w:tr>
      <w:tr>
        <w:tc>
          <w:tcPr>
            <w:tcW w:type="dxa" w:w="864"/>
          </w:tcPr>
          <w:p>
            <w:r>
              <w:rPr>
                <w:sz w:val="20"/>
              </w:rPr>
              <w:t>Language translators, ASL interpreters</w:t>
            </w:r>
          </w:p>
        </w:tc>
        <w:tc>
          <w:tcPr>
            <w:tcW w:type="dxa" w:w="1440"/>
          </w:tcPr>
          <w:p>
            <w:r>
              <w:rPr>
                <w:sz w:val="20"/>
              </w:rPr>
              <w:t>Sub award</w:t>
            </w:r>
          </w:p>
        </w:tc>
        <w:tc>
          <w:tcPr>
            <w:tcW w:type="dxa" w:w="5472"/>
          </w:tcPr>
          <w:p>
            <w:r>
              <w:rPr>
                <w:sz w:val="20"/>
              </w:rPr>
              <w:t>In-person language translation and ASL interpretation for BioBlitzes, translation for print materials.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Rentals</w:t>
            </w:r>
          </w:p>
        </w:tc>
        <w:tc>
          <w:tcPr>
            <w:tcW w:type="dxa" w:w="4032"/>
          </w:tcPr>
          <w:p>
            <w:r>
              <w:rPr>
                <w:sz w:val="20"/>
              </w:rPr>
              <w:t>Tents, tables, chairs, porta-potties, and other to support BioBlitz events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r>
          </w:p>
        </w:tc>
        <w:tc>
          <w:tcPr>
            <w:tcW w:type="dxa" w:w="5472"/>
          </w:tcPr>
          <w:p>
            <w:r>
              <w:rPr>
                <w:sz w:val="20"/>
              </w:rPr>
              <w:t>Project support materials</w:t>
            </w:r>
          </w:p>
        </w:tc>
        <w:tc>
          <w:tcPr>
            <w:tcW w:type="dxa" w:w="4032"/>
          </w:tcPr>
          <w:p>
            <w:r>
              <w:rPr>
                <w:sz w:val="20"/>
              </w:rPr>
              <w:t>Event banners, signs, assorted tools to support volunteers at BioBlitzes such as dip nets, insect traps, field guides, also trail cams, hi-vis vests, project t-shirts for volunteers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Minneapolis Park &amp; Recreation Board Environmental Management</w:t>
            </w:r>
          </w:p>
        </w:tc>
        <w:tc>
          <w:tcPr>
            <w:tcW w:type="dxa" w:w="6120"/>
          </w:tcPr>
          <w:p>
            <w:r>
              <w:rPr>
                <w:sz w:val="20"/>
              </w:rPr>
              <w:t>Will cover costs of graphic designer and/or videomaker to document BioBlitz findings as well as document participants</w:t>
            </w:r>
          </w:p>
        </w:tc>
        <w:tc>
          <w:tcPr>
            <w:tcW w:type="dxa" w:w="1080"/>
          </w:tcPr>
          <w:p>
            <w:r>
              <w:rPr>
                <w:sz w:val="20"/>
              </w:rPr>
              <w:t>Secured</w:t>
            </w:r>
          </w:p>
        </w:tc>
        <w:tc>
          <w:tcPr>
            <w:tcW w:type="dxa" w:w="1440"/>
          </w:tcPr>
          <w:p>
            <w:pPr>
              <w:jc w:val="right"/>
            </w:pPr>
            <w:r>
              <w:rPr>
                <w:sz w:val="20"/>
              </w:rPr>
              <w:t>$10,000</w:t>
            </w:r>
          </w:p>
        </w:tc>
      </w:tr>
      <w:tr>
        <w:tc>
          <w:tcPr>
            <w:tcW w:type="dxa" w:w="1080"/>
          </w:tcPr>
          <w:p>
            <w:r>
              <w:rPr>
                <w:sz w:val="20"/>
              </w:rPr>
              <w:t>In-Kind</w:t>
            </w:r>
          </w:p>
        </w:tc>
        <w:tc>
          <w:tcPr>
            <w:tcW w:type="dxa" w:w="4680"/>
          </w:tcPr>
          <w:p>
            <w:r>
              <w:rPr>
                <w:sz w:val="20"/>
              </w:rPr>
              <w:t>Minneapolis Park &amp; Recreation Board</w:t>
            </w:r>
          </w:p>
        </w:tc>
        <w:tc>
          <w:tcPr>
            <w:tcW w:type="dxa" w:w="6120"/>
          </w:tcPr>
          <w:p>
            <w:r>
              <w:rPr>
                <w:sz w:val="20"/>
              </w:rPr>
              <w:t>MPRB staff time to support the BioBlitz project; includes Environmental Education Manager (.06, 2yrs) Environmental Education Lead (.06, 2yrs), Environmental Educators/Naturalists (.4, 2 yrs), other MPRB staff to support BioBlitz events including Asset Management, Forestry, Natural Resources, Permits, Park Police, Recreation.</w:t>
            </w:r>
          </w:p>
        </w:tc>
        <w:tc>
          <w:tcPr>
            <w:tcW w:type="dxa" w:w="1080"/>
          </w:tcPr>
          <w:p>
            <w:r>
              <w:rPr>
                <w:sz w:val="20"/>
              </w:rPr>
              <w:t>Secured</w:t>
            </w:r>
          </w:p>
        </w:tc>
        <w:tc>
          <w:tcPr>
            <w:tcW w:type="dxa" w:w="1440"/>
          </w:tcPr>
          <w:p>
            <w:pPr>
              <w:jc w:val="right"/>
            </w:pPr>
            <w:r>
              <w:rPr>
                <w:sz w:val="20"/>
              </w:rPr>
              <w:t>$50,000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f5c2a069-6ba.pdf</w:t>
          </w:r>
        </w:hyperlink>
      </w:r>
    </w:p>
    <w:p>
      <w:pPr>
        <w:pStyle w:val="Heading4"/>
        <w:spacing w:before="40" w:after="20"/>
      </w:pPr>
      <w:r>
        <w:rPr>
          <w:b/>
          <w:i/>
          <w:color w:val="000000"/>
          <w:sz w:val="24"/>
        </w:rPr>
        <w:t>Alternate Text for Visual Component</w:t>
      </w:r>
    </w:p>
    <w:p>
      <w:r>
        <w:t>The photo montage of typical BioBlitz activities shows people of varying age, ability and ethnicity enjoying the outdoors in a variety of seasons while utilizing binoculars to look for birds, dip nets to scoop up macroinvertebrates, plus close-ups of a mushroom and a dragonfly....</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w:t>
            </w:r>
          </w:p>
        </w:tc>
        <w:tc>
          <w:tcPr>
            <w:tcW w:type="dxa" w:w="5400"/>
          </w:tcPr>
          <w:p>
            <w:r>
              <w:rPr>
                <w:sz w:val="20"/>
              </w:rPr>
            </w:r>
            <w:r>
              <w:rPr>
                <w:color w:val="000000" w:themeColor="hyperlink"/>
                <w:sz w:val="20"/>
                <w:u w:val="single"/>
              </w:rPr>
              <w:hyperlink r:id="rId18">
                <w:r>
                  <w:rPr/>
                  <w:t>46d8de72-c6f.pdf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5c2a069-6ba.pdf" TargetMode="External"/><Relationship Id="rId18" Type="http://schemas.openxmlformats.org/officeDocument/2006/relationships/hyperlink" Target="https://lccmrprojectmgmt.leg.mn/media/attachments/46d8de72-c6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BioBlitzes Engaging Community in Scientific Efforts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