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2022-246</w:t>
      </w:r>
    </w:p>
    <w:p>
      <w:r>
        <w:rPr>
          <w:b/>
        </w:rPr>
        <w:t xml:space="preserve">Proposal Title: </w:t>
      </w:r>
      <w:r>
        <w:t>Roberts Bird Sanctuary and Lyndale Gardens</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Environmental restoration and accessibility improvements at Roberts Bird Sanctuary and Lyndale Gardens, with implementation of sustainability practices and chemical reduction at the gardens, to protect the sanctuary and Lake Harriet.</w:t>
      </w:r>
    </w:p>
    <w:p>
      <w:r>
        <w:rPr>
          <w:b/>
        </w:rPr>
        <w:t xml:space="preserve">Funds Requested: </w:t>
      </w:r>
      <w:r>
        <w:t>$995,000</w:t>
      </w:r>
    </w:p>
    <w:p>
      <w:r>
        <w:rPr>
          <w:b/>
        </w:rPr>
        <w:t xml:space="preserve">Proposed Project Completion: </w:t>
      </w:r>
      <w:r>
        <w:t>December 31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Roberts Bird Sanctuary was designated in 1936. Park Board guidance suggests the need for managing the landscape to better address invasive species, enhance ecological function, and repair infrastructure. Replacement of invasives with habitat-supporting plants that will become self-perpetuating remains a core goal. As a designated sanctuary, enhanced vistorship and access is highlighted by other Park Board plans, with improvements balanced on accessing the sanctuary for education and recreation without overly intruding on habitat. Maintaining the integrity of the ecologic underpinnings of the sanctuary is key, especially for introduced infrastructure.</w:t>
        <w:br/>
        <w:br/>
        <w:t>The Bde Maka Ska-Lake Harriet Master Plan addresses the future of the Lyndale Park gardens, which are adjacent to Roberts Bird Sanctuary. The plan calls for accessibility upgrades to the various gardens, in order to foster education and recreation opportunities for users of all capabilities. The gardens are evolving in terms of horticultural practice, with the Park Board aiming to significantly reduce the use of horticultural chemicals and better manage water applied to garden plantings. In addition, the Rose Garden could reestablish rose trials for northern climate gardens, a function it has pursued on various occasions since its creation in 1907.</w:t>
      </w:r>
    </w:p>
    <w:p>
      <w:pPr>
        <w:spacing w:after="60"/>
      </w:pPr>
      <w:r>
        <w:rPr>
          <w:b/>
        </w:rPr>
        <w:t>What is your proposed solution to the problem or opportunity discussed above? i.e. What are you seeking funding to do? You will be asked to expand on this in Activities and Milestones.</w:t>
      </w:r>
    </w:p>
    <w:p>
      <w:r>
        <w:t>At the Roberts Bird Sanctuary, efforts would be directed to enhancing accessibility to gravel-surfaced pathways and replacement of a failed floating walkway with a more resilient boardwalk, both of which will allow greater access by visitors of all capabilities. Areas with invasive species would be managed and replanted with species appropriate for the periodically inundated wetland forest. New vegetation will be more supportive of the wildlife function of the sanctuary, with a particular focus on birds, insects, and amphibians—which would likely be more prevalent in the sanctuary’s many vernal pools if vegetation were modified. Other activities to be pursued include corrections or repairs to failing infrastructure, including fencing and stormwater pipes.</w:t>
        <w:br/>
        <w:br/>
        <w:t>Improvements at the Rose Garden and other Lyndale Park gardens relate to horticultural practices and reductions in horticultural chemicals that are already starting to occur. Gardening staff note that the use of mist irrigation would be a significant improvement which would, as a consequence, allow for reductions in the use of most horticultural chemicals. Other improvements are similar to those in the Bird Sanctuary, where access using new hard-surfaces will increase visitorship across a spectrum of user capabilities.</w:t>
      </w:r>
    </w:p>
    <w:p>
      <w:pPr>
        <w:spacing w:after="60"/>
      </w:pPr>
      <w:r>
        <w:rPr>
          <w:b/>
        </w:rPr>
        <w:t xml:space="preserve">What are the specific project outcomes as they relate to the public purpose of protection, conservation, preservation, and enhancement of the state’s natural resources? </w:t>
      </w:r>
    </w:p>
    <w:p>
      <w:r>
        <w:t>Enhanced accessibility in both areas for persons with disabilities or in need of mobility assistance, as a means of encouraging nature-based recreation.</w:t>
        <w:br/>
        <w:br/>
        <w:t>Roberts Bird Sanctuary:</w:t>
        <w:br/>
        <w:t>-- Removal of plastic infrastructure so those materials are not available to wildlife as they degrade.</w:t>
        <w:br/>
        <w:t>-- Introduction of habitat-supporting plantings and associated removal of invasive species.</w:t>
        <w:br/>
        <w:t>-- Correction of failing fencing and stormwater infrastructure.</w:t>
        <w:br/>
        <w:tab/>
        <w:br/>
        <w:t>Lyndale Park Gardens:</w:t>
        <w:br/>
        <w:t>-- Reduced reliance on horticultural chemicals in proximity to lake and sanctuary.</w:t>
        <w:br/>
        <w:t>-- Introduction of more appropriate irrigation methods as a core horticultural practice.</w:t>
        <w:br/>
        <w:t>-- Restoration of perimeter fencing to eliminate predation of garden species by wildlife.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Accessibility improvements at the Sanctuary and Gardens</w:t>
      </w:r>
    </w:p>
    <w:p>
      <w:r>
        <w:rPr>
          <w:b/>
        </w:rPr>
        <w:t xml:space="preserve">Activity Budget: </w:t>
      </w:r>
      <w:r>
        <w:t>$361,000</w:t>
      </w:r>
    </w:p>
    <w:p>
      <w:r>
        <w:rPr>
          <w:b/>
        </w:rPr>
        <w:t xml:space="preserve">Activity Description: </w:t>
        <w:br/>
      </w:r>
      <w:r>
        <w:t xml:space="preserve">The removal of the existing failed boardwalk, which is degrading in the landscape and intruding upon the experience of the sanctuary, will be accomplished by contracted labor. Replacement of the boardwalk ensures that a similar experience in those portions of the sanctuary can be perpetuated, except that a more limited expanse of boardwalk resonates with the notion of a landscape reserved for wildlife. Park Board staff will design the replacement boardwalk, reviewing locations and design configuration with sanctuary stakeholders, and reviewing development alternatives for increased access for persons with disabilities. The replacement boardwalk and any access improvements will be constructed using contracted labor. </w:t>
        <w:br/>
        <w:br/>
        <w:t>The Rose Garden and other gardens of Lyndale Park will be reviewed for access limitations following guidance of the Americans with Disabilities Act. Plans for enhancing access will be developed to ensure similar experiences for users regardless of mobility level. Park Board staff will design the improvements and contracted labor will be used to implement the access improvements.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Assessment of conditions related to access including stakeholder involvement</w:t>
            </w:r>
          </w:p>
        </w:tc>
        <w:tc>
          <w:tcPr>
            <w:tcW w:type="dxa" w:w="2160"/>
          </w:tcPr>
          <w:p>
            <w:pPr>
              <w:jc w:val="right"/>
            </w:pPr>
            <w:r>
              <w:rPr>
                <w:sz w:val="20"/>
              </w:rPr>
              <w:t>October 31 2022</w:t>
            </w:r>
          </w:p>
        </w:tc>
      </w:tr>
      <w:tr>
        <w:tc>
          <w:tcPr>
            <w:tcW w:type="dxa" w:w="8640"/>
          </w:tcPr>
          <w:p>
            <w:r>
              <w:rPr>
                <w:sz w:val="20"/>
              </w:rPr>
              <w:t>Completion and bidding of plans for enhanced access</w:t>
            </w:r>
          </w:p>
        </w:tc>
        <w:tc>
          <w:tcPr>
            <w:tcW w:type="dxa" w:w="2160"/>
          </w:tcPr>
          <w:p>
            <w:pPr>
              <w:jc w:val="right"/>
            </w:pPr>
            <w:r>
              <w:rPr>
                <w:sz w:val="20"/>
              </w:rPr>
              <w:t>March 31 2023</w:t>
            </w:r>
          </w:p>
        </w:tc>
      </w:tr>
      <w:tr>
        <w:tc>
          <w:tcPr>
            <w:tcW w:type="dxa" w:w="8640"/>
          </w:tcPr>
          <w:p>
            <w:r>
              <w:rPr>
                <w:sz w:val="20"/>
              </w:rPr>
              <w:t>Implementation of access enhancements</w:t>
            </w:r>
          </w:p>
        </w:tc>
        <w:tc>
          <w:tcPr>
            <w:tcW w:type="dxa" w:w="2160"/>
          </w:tcPr>
          <w:p>
            <w:pPr>
              <w:jc w:val="right"/>
            </w:pPr>
            <w:r>
              <w:rPr>
                <w:sz w:val="20"/>
              </w:rPr>
              <w:t>September 30 2024</w:t>
            </w:r>
          </w:p>
        </w:tc>
      </w:tr>
    </w:tbl>
    <w:p/>
    <w:p>
      <w:pPr>
        <w:pStyle w:val="Heading3"/>
        <w:spacing w:after="60"/>
      </w:pPr>
      <w:r>
        <w:rPr>
          <w:b/>
          <w:color w:val="254885"/>
          <w:sz w:val="26"/>
        </w:rPr>
        <w:t>Activity 2: Sanctuary habitat improvements</w:t>
      </w:r>
    </w:p>
    <w:p>
      <w:r>
        <w:rPr>
          <w:b/>
        </w:rPr>
        <w:t xml:space="preserve">Activity Budget: </w:t>
      </w:r>
      <w:r>
        <w:t>$114,000</w:t>
      </w:r>
    </w:p>
    <w:p>
      <w:r>
        <w:rPr>
          <w:b/>
        </w:rPr>
        <w:t xml:space="preserve">Activity Description: </w:t>
        <w:br/>
      </w:r>
      <w:r>
        <w:t xml:space="preserve">The sanctuary is comprised of landscapes that have been degraded by the presence of invasive species. The Park Board will revisit areas identified in a previously prepared management plan and generally survey the entire sanctuary to determine zones of encroachment by invasives. The Park Board will work with volunteers and, to the degree practicable, with contracted labor to remove areas of invasive species and restore those areas with habitat supporting native species. </w:t>
        <w:br/>
        <w:br/>
        <w:t>In addition, Park Board staff will update a condition survey of fencing and other infrastructure, primarily stormwater pipes, to ensure they are in fair operating condition, and will continue to incrementally replace areas of failure. Park Board staff will develop plans for additional fence replacement and stormwater pipe replacements to ensure integrity in the bounding fence exist and operational capacity remains in stormwater pipes in an effort to best manage water movement through the sanctuary. Improvements, where needed will be bid according to plans and contracted labor. Similar to the landscape improvements, these efforts will better align the operations of the sanctuary with ecological integrity.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Assessment of landscape and infrastructure condition</w:t>
            </w:r>
          </w:p>
        </w:tc>
        <w:tc>
          <w:tcPr>
            <w:tcW w:type="dxa" w:w="2160"/>
          </w:tcPr>
          <w:p>
            <w:pPr>
              <w:jc w:val="right"/>
            </w:pPr>
            <w:r>
              <w:rPr>
                <w:sz w:val="20"/>
              </w:rPr>
              <w:t>October 31 2022</w:t>
            </w:r>
          </w:p>
        </w:tc>
      </w:tr>
      <w:tr>
        <w:tc>
          <w:tcPr>
            <w:tcW w:type="dxa" w:w="8640"/>
          </w:tcPr>
          <w:p>
            <w:r>
              <w:rPr>
                <w:sz w:val="20"/>
              </w:rPr>
              <w:t>Completion of landscape restoration planning</w:t>
            </w:r>
          </w:p>
        </w:tc>
        <w:tc>
          <w:tcPr>
            <w:tcW w:type="dxa" w:w="2160"/>
          </w:tcPr>
          <w:p>
            <w:pPr>
              <w:jc w:val="right"/>
            </w:pPr>
            <w:r>
              <w:rPr>
                <w:sz w:val="20"/>
              </w:rPr>
              <w:t>March 31 2023</w:t>
            </w:r>
          </w:p>
        </w:tc>
      </w:tr>
      <w:tr>
        <w:tc>
          <w:tcPr>
            <w:tcW w:type="dxa" w:w="8640"/>
          </w:tcPr>
          <w:p>
            <w:r>
              <w:rPr>
                <w:sz w:val="20"/>
              </w:rPr>
              <w:t>Completion and bidding of  plans for habitat-impacting infrastructure improvements</w:t>
            </w:r>
          </w:p>
        </w:tc>
        <w:tc>
          <w:tcPr>
            <w:tcW w:type="dxa" w:w="2160"/>
          </w:tcPr>
          <w:p>
            <w:pPr>
              <w:jc w:val="right"/>
            </w:pPr>
            <w:r>
              <w:rPr>
                <w:sz w:val="20"/>
              </w:rPr>
              <w:t>March 31 2023</w:t>
            </w:r>
          </w:p>
        </w:tc>
      </w:tr>
      <w:tr>
        <w:tc>
          <w:tcPr>
            <w:tcW w:type="dxa" w:w="8640"/>
          </w:tcPr>
          <w:p>
            <w:r>
              <w:rPr>
                <w:sz w:val="20"/>
              </w:rPr>
              <w:t>Construction of infrastructure upgrades</w:t>
            </w:r>
          </w:p>
        </w:tc>
        <w:tc>
          <w:tcPr>
            <w:tcW w:type="dxa" w:w="2160"/>
          </w:tcPr>
          <w:p>
            <w:pPr>
              <w:jc w:val="right"/>
            </w:pPr>
            <w:r>
              <w:rPr>
                <w:sz w:val="20"/>
              </w:rPr>
              <w:t>October 31 2023</w:t>
            </w:r>
          </w:p>
        </w:tc>
      </w:tr>
      <w:tr>
        <w:tc>
          <w:tcPr>
            <w:tcW w:type="dxa" w:w="8640"/>
          </w:tcPr>
          <w:p>
            <w:r>
              <w:rPr>
                <w:sz w:val="20"/>
              </w:rPr>
              <w:t>Completion of landscape restoration and native species planting</w:t>
            </w:r>
          </w:p>
        </w:tc>
        <w:tc>
          <w:tcPr>
            <w:tcW w:type="dxa" w:w="2160"/>
          </w:tcPr>
          <w:p>
            <w:pPr>
              <w:jc w:val="right"/>
            </w:pPr>
            <w:r>
              <w:rPr>
                <w:sz w:val="20"/>
              </w:rPr>
              <w:t>October 31 2024</w:t>
            </w:r>
          </w:p>
        </w:tc>
      </w:tr>
    </w:tbl>
    <w:p/>
    <w:p>
      <w:pPr>
        <w:pStyle w:val="Heading3"/>
        <w:spacing w:after="60"/>
      </w:pPr>
      <w:r>
        <w:rPr>
          <w:b/>
          <w:color w:val="254885"/>
          <w:sz w:val="26"/>
        </w:rPr>
        <w:t>Activity 3: Enhanced environmental garden practices</w:t>
      </w:r>
    </w:p>
    <w:p>
      <w:r>
        <w:rPr>
          <w:b/>
        </w:rPr>
        <w:t xml:space="preserve">Activity Budget: </w:t>
      </w:r>
      <w:r>
        <w:t>$520,000</w:t>
      </w:r>
    </w:p>
    <w:p>
      <w:r>
        <w:rPr>
          <w:b/>
        </w:rPr>
        <w:t xml:space="preserve">Activity Description: </w:t>
        <w:br/>
      </w:r>
      <w:r>
        <w:t>Improvements to horticultural practices, many of which have already been initiated, are targeted to lessen the use of chemicals and standardize ecologically sustainable methods of perpetuating the attraction of the gardens. Park Board staff will identify the best methods of reducing chemical use aligned with more strategic and appropriate irrigation of garden plantings, especially roses in the Rose Garden. Park Board staff will also develop, in concert the consulting expertise, a new irrigation system for the gardens meeting best methods identified by staff. Park Board staff will bid the irrigation improvements for implementation using contracted labor and will modify applications of horticultural chemicals, creating a best practices guide based on their success with irrigation practices.</w:t>
        <w:br/>
        <w:br/>
        <w:t>Fencing will be assessed as method to limit plant predation by wildlife, especially in the Rose Garden as it tends to be quite susceptible. Fence plans will be developed by Park Board staff and consultants and shared with stakeholders. Park Board staff will bid the fence improvements, awarding construction to qualified labor. The efforts directed to fencing improvements will restore a condition common to the Rose Garden for several decades after its inception but no longer present in the garden’s landscape.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 horticultural practices and identify environmental stratergies</w:t>
            </w:r>
          </w:p>
        </w:tc>
        <w:tc>
          <w:tcPr>
            <w:tcW w:type="dxa" w:w="2160"/>
          </w:tcPr>
          <w:p>
            <w:pPr>
              <w:jc w:val="right"/>
            </w:pPr>
            <w:r>
              <w:rPr>
                <w:sz w:val="20"/>
              </w:rPr>
              <w:t>December 31 2022</w:t>
            </w:r>
          </w:p>
        </w:tc>
      </w:tr>
      <w:tr>
        <w:tc>
          <w:tcPr>
            <w:tcW w:type="dxa" w:w="8640"/>
          </w:tcPr>
          <w:p>
            <w:r>
              <w:rPr>
                <w:sz w:val="20"/>
              </w:rPr>
              <w:t>Completion and bidding of plans for fencing and irrigation improvements</w:t>
            </w:r>
          </w:p>
        </w:tc>
        <w:tc>
          <w:tcPr>
            <w:tcW w:type="dxa" w:w="2160"/>
          </w:tcPr>
          <w:p>
            <w:pPr>
              <w:jc w:val="right"/>
            </w:pPr>
            <w:r>
              <w:rPr>
                <w:sz w:val="20"/>
              </w:rPr>
              <w:t>March 31 2023</w:t>
            </w:r>
          </w:p>
        </w:tc>
      </w:tr>
      <w:tr>
        <w:tc>
          <w:tcPr>
            <w:tcW w:type="dxa" w:w="8640"/>
          </w:tcPr>
          <w:p>
            <w:r>
              <w:rPr>
                <w:sz w:val="20"/>
              </w:rPr>
              <w:t>Initiate transition to environmentally sound horticultural practices</w:t>
            </w:r>
          </w:p>
        </w:tc>
        <w:tc>
          <w:tcPr>
            <w:tcW w:type="dxa" w:w="2160"/>
          </w:tcPr>
          <w:p>
            <w:pPr>
              <w:jc w:val="right"/>
            </w:pPr>
            <w:r>
              <w:rPr>
                <w:sz w:val="20"/>
              </w:rPr>
              <w:t>March 31 2023</w:t>
            </w:r>
          </w:p>
        </w:tc>
      </w:tr>
      <w:tr>
        <w:tc>
          <w:tcPr>
            <w:tcW w:type="dxa" w:w="8640"/>
          </w:tcPr>
          <w:p>
            <w:r>
              <w:rPr>
                <w:sz w:val="20"/>
              </w:rPr>
              <w:t>Construction of fencing and irrigation improvements</w:t>
            </w:r>
          </w:p>
        </w:tc>
        <w:tc>
          <w:tcPr>
            <w:tcW w:type="dxa" w:w="2160"/>
          </w:tcPr>
          <w:p>
            <w:pPr>
              <w:jc w:val="right"/>
            </w:pPr>
            <w:r>
              <w:rPr>
                <w:sz w:val="20"/>
              </w:rPr>
              <w:t>October 31 2023</w:t>
            </w:r>
          </w:p>
        </w:tc>
      </w:tr>
      <w:tr>
        <w:tc>
          <w:tcPr>
            <w:tcW w:type="dxa" w:w="8640"/>
          </w:tcPr>
          <w:p>
            <w:r>
              <w:rPr>
                <w:sz w:val="20"/>
              </w:rPr>
              <w:t>Complete standardization of environmentally sound horticultural practices</w:t>
            </w:r>
          </w:p>
        </w:tc>
        <w:tc>
          <w:tcPr>
            <w:tcW w:type="dxa" w:w="2160"/>
          </w:tcPr>
          <w:p>
            <w:pPr>
              <w:jc w:val="right"/>
            </w:pPr>
            <w:r>
              <w:rPr>
                <w:sz w:val="20"/>
              </w:rPr>
              <w:t>December 31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 Additional work necessary after initial construction will be covered by the contractor's warranty and and will not require additional funding. Additional restoration and enhancement work after the warranty period will be funded by MPRB.</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Design Project Manager</w:t>
            </w:r>
          </w:p>
        </w:tc>
        <w:tc>
          <w:tcPr>
            <w:tcW w:type="dxa" w:w="1440"/>
          </w:tcPr>
          <w:p>
            <w:r>
              <w:rPr>
                <w:sz w:val="20"/>
              </w:rPr>
            </w:r>
          </w:p>
        </w:tc>
        <w:tc>
          <w:tcPr>
            <w:tcW w:type="dxa" w:w="5472"/>
          </w:tcPr>
          <w:p>
            <w:r>
              <w:rPr>
                <w:sz w:val="20"/>
              </w:rPr>
              <w:t>Provide design expertise and administration for all construction-related project tasks.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Technical design consultant</w:t>
            </w:r>
          </w:p>
        </w:tc>
        <w:tc>
          <w:tcPr>
            <w:tcW w:type="dxa" w:w="1440"/>
          </w:tcPr>
          <w:p>
            <w:r>
              <w:rPr>
                <w:sz w:val="20"/>
              </w:rPr>
              <w:t>Professional or Technical Service Contract</w:t>
            </w:r>
          </w:p>
        </w:tc>
        <w:tc>
          <w:tcPr>
            <w:tcW w:type="dxa" w:w="5472"/>
          </w:tcPr>
          <w:p>
            <w:r>
              <w:rPr>
                <w:sz w:val="20"/>
              </w:rPr>
              <w:t>Design and preparation of construction plans for boardwalk, accessibility improvements, fencing, stormwater infrastructure, and irrigation. Consultant will be selected through a competitive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$54,000</w:t>
            </w:r>
          </w:p>
        </w:tc>
      </w:tr>
      <w:tr>
        <w:tc>
          <w:tcPr>
            <w:tcW w:type="dxa" w:w="864"/>
          </w:tcPr>
          <w:p>
            <w:r>
              <w:rPr>
                <w:sz w:val="20"/>
              </w:rPr>
              <w:t>Construction contractor: hardscape and infrastructure</w:t>
            </w:r>
          </w:p>
        </w:tc>
        <w:tc>
          <w:tcPr>
            <w:tcW w:type="dxa" w:w="1440"/>
          </w:tcPr>
          <w:p>
            <w:r>
              <w:rPr>
                <w:sz w:val="20"/>
              </w:rPr>
              <w:t>Professional or Technical Service Contract</w:t>
            </w:r>
          </w:p>
        </w:tc>
        <w:tc>
          <w:tcPr>
            <w:tcW w:type="dxa" w:w="5472"/>
          </w:tcPr>
          <w:p>
            <w:r>
              <w:rPr>
                <w:sz w:val="20"/>
              </w:rPr>
              <w:t>A contractor will be selected through a competitive process to construct all accessibility and utility improvements, including boardwalk demolition, pathway and boardwalk construction, and stormwater infrastructure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$351,000</w:t>
            </w:r>
          </w:p>
        </w:tc>
      </w:tr>
      <w:tr>
        <w:tc>
          <w:tcPr>
            <w:tcW w:type="dxa" w:w="864"/>
          </w:tcPr>
          <w:p>
            <w:r>
              <w:rPr>
                <w:sz w:val="20"/>
              </w:rPr>
              <w:t>Construction contractor: restoration</w:t>
            </w:r>
          </w:p>
        </w:tc>
        <w:tc>
          <w:tcPr>
            <w:tcW w:type="dxa" w:w="1440"/>
          </w:tcPr>
          <w:p>
            <w:r>
              <w:rPr>
                <w:sz w:val="20"/>
              </w:rPr>
              <w:t>Professional or Technical Service Contract</w:t>
            </w:r>
          </w:p>
        </w:tc>
        <w:tc>
          <w:tcPr>
            <w:tcW w:type="dxa" w:w="5472"/>
          </w:tcPr>
          <w:p>
            <w:r>
              <w:rPr>
                <w:sz w:val="20"/>
              </w:rPr>
              <w:t>A contractor will be selected through a competitive process to install all restoration activities within the Sanctuary, including invasive species removal and native plantings.  The contractor may be assisted by volunteers and/or MPRB staff. This contractor could be the Minnesota Conservation Corps.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$40,000</w:t>
            </w:r>
          </w:p>
        </w:tc>
      </w:tr>
      <w:tr>
        <w:tc>
          <w:tcPr>
            <w:tcW w:type="dxa" w:w="864"/>
          </w:tcPr>
          <w:p>
            <w:r>
              <w:rPr>
                <w:sz w:val="20"/>
              </w:rPr>
              <w:t>Construction contractor: fencing</w:t>
            </w:r>
          </w:p>
        </w:tc>
        <w:tc>
          <w:tcPr>
            <w:tcW w:type="dxa" w:w="1440"/>
          </w:tcPr>
          <w:p>
            <w:r>
              <w:rPr>
                <w:sz w:val="20"/>
              </w:rPr>
              <w:t>Professional or Technical Service Contract</w:t>
            </w:r>
          </w:p>
        </w:tc>
        <w:tc>
          <w:tcPr>
            <w:tcW w:type="dxa" w:w="5472"/>
          </w:tcPr>
          <w:p>
            <w:r>
              <w:rPr>
                <w:sz w:val="20"/>
              </w:rPr>
              <w:t>A contractor will be selected through a competitive bid process to install all fencing at the Sanctuary and Gardens, including removal or repair of existing fencing.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$384,000</w:t>
            </w:r>
          </w:p>
        </w:tc>
      </w:tr>
      <w:tr>
        <w:tc>
          <w:tcPr>
            <w:tcW w:type="dxa" w:w="864"/>
          </w:tcPr>
          <w:p>
            <w:r>
              <w:rPr>
                <w:sz w:val="20"/>
              </w:rPr>
              <w:t>Construction contractor: irrigation</w:t>
            </w:r>
          </w:p>
        </w:tc>
        <w:tc>
          <w:tcPr>
            <w:tcW w:type="dxa" w:w="1440"/>
          </w:tcPr>
          <w:p>
            <w:r>
              <w:rPr>
                <w:sz w:val="20"/>
              </w:rPr>
              <w:t>Professional or Technical Service Contract</w:t>
            </w:r>
          </w:p>
        </w:tc>
        <w:tc>
          <w:tcPr>
            <w:tcW w:type="dxa" w:w="5472"/>
          </w:tcPr>
          <w:p>
            <w:r>
              <w:rPr>
                <w:sz w:val="20"/>
              </w:rPr>
              <w:t>A contractor will be selected through a competitive process to upgrade and install the irrigation system at the Rose Garden.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MPRB tax levy-funded staff time and activities</w:t>
            </w:r>
          </w:p>
        </w:tc>
        <w:tc>
          <w:tcPr>
            <w:tcW w:type="dxa" w:w="6120"/>
          </w:tcPr>
          <w:p>
            <w:r>
              <w:rPr>
                <w:sz w:val="20"/>
              </w:rPr>
              <w:t>MPRB environmental and maintenance staff will work with contractors to review restoration activities and provide initial and ongoing maintenance. MPRB staff will also coordinate volunteers if necessary.</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Community fundraising</w:t>
            </w:r>
          </w:p>
        </w:tc>
        <w:tc>
          <w:tcPr>
            <w:tcW w:type="dxa" w:w="6120"/>
          </w:tcPr>
          <w:p>
            <w:r>
              <w:rPr>
                <w:sz w:val="20"/>
              </w:rPr>
              <w:t>Fundraising in underway by community group Voices for the Roses, for contributions to support fencing, irrigation, and accessibility.</w:t>
            </w:r>
          </w:p>
        </w:tc>
        <w:tc>
          <w:tcPr>
            <w:tcW w:type="dxa" w:w="1080"/>
          </w:tcPr>
          <w:p>
            <w:r>
              <w:rPr>
                <w:sz w:val="20"/>
              </w:rPr>
              <w:t>Pending</w:t>
            </w:r>
          </w:p>
        </w:tc>
        <w:tc>
          <w:tcPr>
            <w:tcW w:type="dxa" w:w="1440"/>
          </w:tcPr>
          <w:p>
            <w:pPr>
              <w:jc w:val="right"/>
            </w:pPr>
            <w:r>
              <w:rPr>
                <w:sz w:val="20"/>
              </w:rPr>
              <w:t>$250,000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PID: 0902824130001</w:t>
            </w:r>
          </w:p>
        </w:tc>
        <w:tc>
          <w:tcPr>
            <w:tcW w:type="dxa" w:w="1440"/>
          </w:tcPr>
          <w:p>
            <w:r>
              <w:rPr>
                <w:sz w:val="20"/>
              </w:rPr>
              <w:t>Hennepin</w:t>
            </w:r>
          </w:p>
        </w:tc>
        <w:tc>
          <w:tcPr>
            <w:tcW w:type="dxa" w:w="3888"/>
          </w:tcPr>
          <w:p>
            <w:r>
              <w:rPr>
                <w:sz w:val="20"/>
              </w:rPr>
              <w:t>The site is currently owned by the Minneapolis Park and Recreation Board and is a mix of forest and forested wetlands of moderate quality, as well as formal gardens and mown turf. The site is heavily visited as part of the Minneapolis Chain of Lakes Regional Park, which sees more than 7 million visits per year.</w:t>
            </w:r>
          </w:p>
        </w:tc>
        <w:tc>
          <w:tcPr>
            <w:tcW w:type="dxa" w:w="1080"/>
          </w:tcPr>
          <w:p>
            <w:r>
              <w:rPr>
                <w:sz w:val="20"/>
              </w:rPr>
              <w:t>Restoration</w:t>
            </w:r>
          </w:p>
        </w:tc>
        <w:tc>
          <w:tcPr>
            <w:tcW w:type="dxa" w:w="432"/>
          </w:tcPr>
          <w:p>
            <w:pPr>
              <w:jc w:val="right"/>
            </w:pPr>
            <w:r>
              <w:rPr>
                <w:sz w:val="20"/>
              </w:rPr>
              <w:t>50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description of a target restoration communities, which would most likely be wetland, forested wetland, and upland forest; a timeline for restoration; and guidance for ongoing management of the restored areas. The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will fully utilize BWSR’s guidance document.  Because this project area has "Some Intact Ecological Characteristics," we expect that the recommended number of plant species will be on highest end of that row according to the “Minimum Recommended Number of Species” matrix (p.6).  The project will utilize and source seed as recommended for the project location (Ecological Section 8, Big Woods Subsection). Primary project type guidance will come from the sections on wetland restoration (p. 34) and forests/woodlands (p. 45).</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MPRB staff will evaluate the habitat restoration after initial construction activity. Those staff will provide ongoing evaluation and management during the course of their normal work with natural areas across the MPRB system.</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6969a0d1-745.pdf</w:t>
          </w:r>
        </w:hyperlink>
      </w:r>
    </w:p>
    <w:p>
      <w:pPr>
        <w:pStyle w:val="Heading4"/>
        <w:spacing w:before="40" w:after="20"/>
      </w:pPr>
      <w:r>
        <w:rPr>
          <w:b/>
          <w:i/>
          <w:color w:val="000000"/>
          <w:sz w:val="24"/>
        </w:rPr>
        <w:t>Alternate Text for Map</w:t>
      </w:r>
    </w:p>
    <w:p>
      <w:r>
        <w:t>Page from the Lake Harriet Master Plan showing planned improvements at Roberts Bird Sanctuary and the Lyndale Park Gardens...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2021-149</w:t>
            </w:r>
          </w:p>
        </w:tc>
        <w:tc>
          <w:tcPr>
            <w:tcW w:type="dxa" w:w="5400"/>
          </w:tcPr>
          <w:p>
            <w:r>
              <w:rPr>
                <w:sz w:val="20"/>
              </w:rPr>
            </w:r>
            <w:r>
              <w:rPr>
                <w:color w:val="000000" w:themeColor="hyperlink"/>
                <w:sz w:val="20"/>
                <w:u w:val="single"/>
              </w:rPr>
              <w:hyperlink r:id="rId18">
                <w:r>
                  <w:rPr/>
                  <w:t>6f7deec5-b5b.pdf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969a0d1-745.pdf" TargetMode="External"/><Relationship Id="rId18" Type="http://schemas.openxmlformats.org/officeDocument/2006/relationships/hyperlink" Target="https://lccmrprojectmgmt.leg.mn/media/attachments/6f7deec5-b5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Roberts Bird Sanctuary and Lyndale Gardens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