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2022-146</w:t>
      </w:r>
    </w:p>
    <w:p>
      <w:r>
        <w:rPr>
          <w:b/>
        </w:rPr>
        <w:t xml:space="preserve">Proposal Title: </w:t>
      </w:r>
      <w:r>
        <w:t>Minnesota Green Schoolyards</w:t>
      </w:r>
    </w:p>
    <w:p/>
    <w:p>
      <w:pPr>
        <w:pStyle w:val="Heading2"/>
        <w:spacing w:before="0" w:after="80"/>
      </w:pPr>
      <w:r>
        <w:rPr>
          <w:b/>
          <w:color w:val="2C559C"/>
          <w:sz w:val="28"/>
        </w:rPr>
        <w:t>Project Manager Information</w:t>
      </w:r>
    </w:p>
    <w:p>
      <w:r>
        <w:rPr>
          <w:b/>
        </w:rPr>
        <w:t xml:space="preserve">Name: </w:t>
      </w:r>
      <w:r>
        <w:t>Eric Weiss</w:t>
      </w:r>
    </w:p>
    <w:p>
      <w:r>
        <w:rPr>
          <w:b/>
        </w:rPr>
        <w:t xml:space="preserve">Organization: </w:t>
      </w:r>
      <w:r>
        <w:t>The Trust for Public Land</w:t>
      </w:r>
    </w:p>
    <w:p>
      <w:r>
        <w:rPr>
          <w:b/>
        </w:rPr>
        <w:t xml:space="preserve">Office Telephone: </w:t>
      </w:r>
      <w:r>
        <w:t>(651) 999-5306</w:t>
      </w:r>
    </w:p>
    <w:p>
      <w:r>
        <w:rPr>
          <w:b/>
        </w:rPr>
        <w:t xml:space="preserve">Email: </w:t>
      </w:r>
      <w:r>
        <w:t>eric.weiss@tpl.org</w:t>
      </w:r>
    </w:p>
    <w:p/>
    <w:p>
      <w:pPr>
        <w:pStyle w:val="Heading2"/>
        <w:spacing w:before="0" w:after="80"/>
      </w:pPr>
      <w:r>
        <w:rPr>
          <w:b/>
          <w:color w:val="2C559C"/>
          <w:sz w:val="28"/>
        </w:rPr>
        <w:t>Project Basic Information</w:t>
      </w:r>
    </w:p>
    <w:p>
      <w:r>
        <w:rPr>
          <w:b/>
        </w:rPr>
        <w:t xml:space="preserve">Project Summary: </w:t>
      </w:r>
      <w:r>
        <w:t>Environmentally-focused renovation of three schoolyards, designed through student- and community-centered design process, to be park-like spaces that demonstrate water, air, and habitat improvements and foster next-generation stewards.</w:t>
      </w:r>
    </w:p>
    <w:p>
      <w:r>
        <w:rPr>
          <w:b/>
        </w:rPr>
        <w:t xml:space="preserve">Funds Requested: </w:t>
      </w:r>
      <w:r>
        <w:t>$1,088,000</w:t>
      </w:r>
    </w:p>
    <w:p>
      <w:r>
        <w:rPr>
          <w:b/>
        </w:rPr>
        <w:t xml:space="preserve">Proposed Project Completion: </w:t>
      </w:r>
      <w:r>
        <w:t>June 30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Our schoolyards are packed with potential. And yet, too few schoolyards are designed with the kinds of green space and play features that the school and greater community need, desire, and deserve. Unintentionally, conventional schoolyard design can contribute to ground and stormwater issues, loss of pollinator habitat, and exacerbate heat island impacts. Additionally, aging infrastructure, outdated schoolyard design, traffic, safety issues, and the lack of outdoor classrooms limit the potential of these outdoor spaces. Due to budget restraints, schools struggle to update aging infrastructure, much less reimagine schoolyards as environment-centered spaces. </w:t>
        <w:br/>
        <w:br/>
        <w:t>Minnesota’s 3,000 schools are logical sites to protect and enhance our environment and natural resources. A burgeoning collection of research proves the vital benefits of outdoor play for kids—including boosting physical and mental health, reducing behavior issues, improving academic achievement, and fostering next-generation environmental stewards. Green Schoolyards are park-like outdoor places designed by students and the community and open to the public. A popular and well-tested model nationally, many other states are rapidly expanding the number of green schoolyards.  The Trust for Public Land (TPL) and its partners are working to advance schoolyard efforts across Minnesota.</w:t>
      </w:r>
    </w:p>
    <w:p>
      <w:pPr>
        <w:spacing w:after="60"/>
      </w:pPr>
      <w:r>
        <w:rPr>
          <w:b/>
        </w:rPr>
        <w:t>What is your proposed solution to the problem or opportunity discussed above? i.e. What are you seeking funding to do? You will be asked to expand on this in Activities and Milestones.</w:t>
      </w:r>
    </w:p>
    <w:p>
      <w:r>
        <w:t xml:space="preserve">Minnesota Green Schoolyards imagines, funds, and builds schoolyards packed with trees, native plants and grasses, gardens, and infrastructure that capture and treat stormwater. Green schoolyards reduce the risk of flooding and combat the heat island effect keeping our communities cooler. They're places where birds and pollinators find refuge and double as outdoor classrooms where kids can learn about the natural world. Since every green schoolyard is open to the public outside of regular school hours, they serve as neighborhood parks, where anyone is welcome to experience nature's benefits. </w:t>
        <w:br/>
        <w:br/>
        <w:t>Nationally, TPL has helped to reimagine schoolyards for more than 30 years at over 250 sites. Through an investment from LCCMR, we are setting the stage to address this problem, unlock the potential of Minnesota’s schoolyards, and advance a statewide green schoolyard effort unique to the climate and culture of Minnesota. We are seeking support to complete renovations at three additional school sites. Together with existing funding sources, this would allow us to renovate at least one schoolyard in the urban core, a suburban community, and rural communities in northern and southern Minnesota. We strongly feel geographic representation is paramount to establishing a long-term program that meets communities' needs across Minnesota.</w:t>
      </w:r>
    </w:p>
    <w:p>
      <w:pPr>
        <w:spacing w:after="60"/>
      </w:pPr>
      <w:r>
        <w:rPr>
          <w:b/>
        </w:rPr>
        <w:t xml:space="preserve">What are the specific project outcomes as they relate to the public purpose of protection, conservation, preservation, and enhancement of the state’s natural resources? </w:t>
      </w:r>
    </w:p>
    <w:p>
      <w:r>
        <w:t>Collectively, this project aims to create and support the infrastructure, information, and capacity needed to launch and sustain a statewide effort to improve Minnesota's schoolyards, foster thousands of new environmental stewards across our state, and restore and permanently conserve natural resources. This LCCMR-funded work will result in innovative methods to renovate schoolyards to address air, water, and habitat issues. The schoolyards will serve as replicable local examples to interested school districts and stakeholders, helping to spur additional projects and program support. Each site will be evaluated to identify best practices and outcomes, which will guide future renovation projects.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Schoolyard Renovation Projects: facilitate participatory design process and project-based learning, serve as project manager for three schoolyard renovation projects</w:t>
      </w:r>
    </w:p>
    <w:p>
      <w:r>
        <w:rPr>
          <w:b/>
        </w:rPr>
        <w:t xml:space="preserve">Activity Budget: </w:t>
      </w:r>
      <w:r>
        <w:t>$1,083,500</w:t>
      </w:r>
    </w:p>
    <w:p>
      <w:r>
        <w:rPr>
          <w:b/>
        </w:rPr>
        <w:t xml:space="preserve">Activity Description: </w:t>
        <w:br/>
      </w:r>
      <w:r>
        <w:t>Three schools will be selected for construction and demonstration of green schoolyard improvements through an open application process using a set of criteria including but not limited to: high potential environmental and natural resource impact; geographic mix; project readiness and support; and commitment of matching funds. Selected schools will partner with TPL to integrate project development and design into school activities, including classroom lessons on water, air, habitat, and environmental stewardship. Schools will be expected to secure local commitments to ensure long-term maintenance, use of outdoor classrooms, and community access outside of regular school hours. ENRTF funds will support construction and design of green schoolyard infrastructure including but not limited to trees, landscaping, stormwater improvements, outdoor classrooms, gardens, nature play, walking paths, and educational signage. TPL and Children &amp; Nature Network will support the demonstration projects through a combination of technical assistance, facilitation of participatory design and community engagement, integration of natural resources and use of the outdoors in school curriculum and programming, and general project management support. The three demonstration sites will benefit from lessons learned at proceeding Minnesota pilot projects, advancing during the summer and fall of 2021.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Review and score proposals, select demonstration project sites</w:t>
            </w:r>
          </w:p>
        </w:tc>
        <w:tc>
          <w:tcPr>
            <w:tcW w:type="dxa" w:w="2160"/>
          </w:tcPr>
          <w:p>
            <w:pPr>
              <w:jc w:val="right"/>
            </w:pPr>
            <w:r>
              <w:rPr>
                <w:sz w:val="20"/>
              </w:rPr>
              <w:t>August 31 2022</w:t>
            </w:r>
          </w:p>
        </w:tc>
      </w:tr>
      <w:tr>
        <w:tc>
          <w:tcPr>
            <w:tcW w:type="dxa" w:w="8640"/>
          </w:tcPr>
          <w:p>
            <w:r>
              <w:rPr>
                <w:sz w:val="20"/>
              </w:rPr>
              <w:t>Finalize school site work plans, timeline, budgets, partnership agreements, and contracts</w:t>
            </w:r>
          </w:p>
        </w:tc>
        <w:tc>
          <w:tcPr>
            <w:tcW w:type="dxa" w:w="2160"/>
          </w:tcPr>
          <w:p>
            <w:pPr>
              <w:jc w:val="right"/>
            </w:pPr>
            <w:r>
              <w:rPr>
                <w:sz w:val="20"/>
              </w:rPr>
              <w:t>September 30 2022</w:t>
            </w:r>
          </w:p>
        </w:tc>
      </w:tr>
      <w:tr>
        <w:tc>
          <w:tcPr>
            <w:tcW w:type="dxa" w:w="8640"/>
          </w:tcPr>
          <w:p>
            <w:r>
              <w:rPr>
                <w:sz w:val="20"/>
              </w:rPr>
              <w:t>Prepare and execute curriculum/project-based learning and site programming plans</w:t>
            </w:r>
          </w:p>
        </w:tc>
        <w:tc>
          <w:tcPr>
            <w:tcW w:type="dxa" w:w="2160"/>
          </w:tcPr>
          <w:p>
            <w:pPr>
              <w:jc w:val="right"/>
            </w:pPr>
            <w:r>
              <w:rPr>
                <w:sz w:val="20"/>
              </w:rPr>
              <w:t>October 31 2022</w:t>
            </w:r>
          </w:p>
        </w:tc>
      </w:tr>
      <w:tr>
        <w:tc>
          <w:tcPr>
            <w:tcW w:type="dxa" w:w="8640"/>
          </w:tcPr>
          <w:p>
            <w:r>
              <w:rPr>
                <w:sz w:val="20"/>
              </w:rPr>
              <w:t>Conduct participatory planning and design efforts</w:t>
            </w:r>
          </w:p>
        </w:tc>
        <w:tc>
          <w:tcPr>
            <w:tcW w:type="dxa" w:w="2160"/>
          </w:tcPr>
          <w:p>
            <w:pPr>
              <w:jc w:val="right"/>
            </w:pPr>
            <w:r>
              <w:rPr>
                <w:sz w:val="20"/>
              </w:rPr>
              <w:t>March 31 2023</w:t>
            </w:r>
          </w:p>
        </w:tc>
      </w:tr>
      <w:tr>
        <w:tc>
          <w:tcPr>
            <w:tcW w:type="dxa" w:w="8640"/>
          </w:tcPr>
          <w:p>
            <w:r>
              <w:rPr>
                <w:sz w:val="20"/>
              </w:rPr>
              <w:t>Complete and secure green schoolyard designs, budgets, and approvals</w:t>
            </w:r>
          </w:p>
        </w:tc>
        <w:tc>
          <w:tcPr>
            <w:tcW w:type="dxa" w:w="2160"/>
          </w:tcPr>
          <w:p>
            <w:pPr>
              <w:jc w:val="right"/>
            </w:pPr>
            <w:r>
              <w:rPr>
                <w:sz w:val="20"/>
              </w:rPr>
              <w:t>April 30 2023</w:t>
            </w:r>
          </w:p>
        </w:tc>
      </w:tr>
      <w:tr>
        <w:tc>
          <w:tcPr>
            <w:tcW w:type="dxa" w:w="8640"/>
          </w:tcPr>
          <w:p>
            <w:r>
              <w:rPr>
                <w:sz w:val="20"/>
              </w:rPr>
              <w:t>Complete construction of demonstration projects, celebrate schoolyard grand opening</w:t>
            </w:r>
          </w:p>
        </w:tc>
        <w:tc>
          <w:tcPr>
            <w:tcW w:type="dxa" w:w="2160"/>
          </w:tcPr>
          <w:p>
            <w:pPr>
              <w:jc w:val="right"/>
            </w:pPr>
            <w:r>
              <w:rPr>
                <w:sz w:val="20"/>
              </w:rPr>
              <w:t>August 31 2023</w:t>
            </w:r>
          </w:p>
        </w:tc>
      </w:tr>
      <w:tr>
        <w:tc>
          <w:tcPr>
            <w:tcW w:type="dxa" w:w="8640"/>
          </w:tcPr>
          <w:p>
            <w:r>
              <w:rPr>
                <w:sz w:val="20"/>
              </w:rPr>
              <w:t>Foster and support schoolyard stewardship group</w:t>
            </w:r>
          </w:p>
        </w:tc>
        <w:tc>
          <w:tcPr>
            <w:tcW w:type="dxa" w:w="2160"/>
          </w:tcPr>
          <w:p>
            <w:pPr>
              <w:jc w:val="right"/>
            </w:pPr>
            <w:r>
              <w:rPr>
                <w:sz w:val="20"/>
              </w:rPr>
              <w:t>May 31 2024</w:t>
            </w:r>
          </w:p>
        </w:tc>
      </w:tr>
      <w:tr>
        <w:tc>
          <w:tcPr>
            <w:tcW w:type="dxa" w:w="8640"/>
          </w:tcPr>
          <w:p>
            <w:r>
              <w:rPr>
                <w:sz w:val="20"/>
              </w:rPr>
              <w:t>Collect and share lessons learned, evaluation, and success stories</w:t>
            </w:r>
          </w:p>
        </w:tc>
        <w:tc>
          <w:tcPr>
            <w:tcW w:type="dxa" w:w="2160"/>
          </w:tcPr>
          <w:p>
            <w:pPr>
              <w:jc w:val="right"/>
            </w:pPr>
            <w:r>
              <w:rPr>
                <w:sz w:val="20"/>
              </w:rPr>
              <w:t>June 30 2024</w:t>
            </w:r>
          </w:p>
        </w:tc>
      </w:tr>
    </w:tbl>
    <w:p/>
    <w:p>
      <w:pPr>
        <w:pStyle w:val="Heading3"/>
        <w:spacing w:after="60"/>
      </w:pPr>
      <w:r>
        <w:rPr>
          <w:b/>
          <w:color w:val="254885"/>
          <w:sz w:val="26"/>
        </w:rPr>
        <w:t>Activity 2: Cross-sector efforts to build statewide program: advisory committee leadership, information dissemination, program oversight, and increased visibility</w:t>
      </w:r>
    </w:p>
    <w:p>
      <w:r>
        <w:rPr>
          <w:b/>
        </w:rPr>
        <w:t xml:space="preserve">Activity Budget: </w:t>
      </w:r>
      <w:r>
        <w:t>$4,500</w:t>
      </w:r>
    </w:p>
    <w:p>
      <w:r>
        <w:rPr>
          <w:b/>
        </w:rPr>
        <w:t xml:space="preserve">Activity Description: </w:t>
        <w:br/>
      </w:r>
      <w:r>
        <w:t>The Minnesota Green Schoolyards program is supported through a multidisciplinary group of advisory committee members representing conservation and natural resource organizations; public health; education and academia; nonprofit and community organizations; youth organizations; and state agencies. The Advisory Committee supports schoolyard programs, policies, and initiatives, disseminates resources to program partners, and connects interested individuals and organizations. The Advisory Committee will help break down the institutional barriers, red tape, and siloed efforts that currently limit green schoolyard efforts. This group will meet regularly to ensure that all aspects of the program receive collective input from cross-sector partners. Committee members will disseminate data and evaluation results to decision-makers and the public through websites, presentations, and resource creation. Ultimately, the Advisory Committee will pursue efforts to sustain and expand the program’s impact, leading to long-term statewide implementation. Finally, the group, led by TPL and Children &amp; Nature Network, will provide technical assistance and guidance to schools and districts interested in pursuing renovation projects. Technical assistance efforts will guide additional school sites in their local efforts while building long-term green schoolyard delivery by supporting local leaders, expanding the number of schools planning for eventual capital improvements, and integrating environmental stewardship into school curriculum.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Hold regular Advisory Committee meetings</w:t>
            </w:r>
          </w:p>
        </w:tc>
        <w:tc>
          <w:tcPr>
            <w:tcW w:type="dxa" w:w="2160"/>
          </w:tcPr>
          <w:p>
            <w:pPr>
              <w:jc w:val="right"/>
            </w:pPr>
            <w:r>
              <w:rPr>
                <w:sz w:val="20"/>
              </w:rPr>
              <w:t>June 30 2024</w:t>
            </w:r>
          </w:p>
        </w:tc>
      </w:tr>
      <w:tr>
        <w:tc>
          <w:tcPr>
            <w:tcW w:type="dxa" w:w="8640"/>
          </w:tcPr>
          <w:p>
            <w:r>
              <w:rPr>
                <w:sz w:val="20"/>
              </w:rPr>
              <w:t>Develop and implement a long-term action plan</w:t>
            </w:r>
          </w:p>
        </w:tc>
        <w:tc>
          <w:tcPr>
            <w:tcW w:type="dxa" w:w="2160"/>
          </w:tcPr>
          <w:p>
            <w:pPr>
              <w:jc w:val="right"/>
            </w:pPr>
            <w:r>
              <w:rPr>
                <w:sz w:val="20"/>
              </w:rPr>
              <w:t>June 30 2024</w:t>
            </w:r>
          </w:p>
        </w:tc>
      </w:tr>
      <w:tr>
        <w:tc>
          <w:tcPr>
            <w:tcW w:type="dxa" w:w="8640"/>
          </w:tcPr>
          <w:p>
            <w:r>
              <w:rPr>
                <w:sz w:val="20"/>
              </w:rPr>
              <w:t>Support data analysis, demonstration schoolyard transformation, resource dissemination, and technical assistance</w:t>
            </w:r>
          </w:p>
        </w:tc>
        <w:tc>
          <w:tcPr>
            <w:tcW w:type="dxa" w:w="2160"/>
          </w:tcPr>
          <w:p>
            <w:pPr>
              <w:jc w:val="right"/>
            </w:pPr>
            <w:r>
              <w:rPr>
                <w:sz w:val="20"/>
              </w:rPr>
              <w:t>June 30 2024</w:t>
            </w:r>
          </w:p>
        </w:tc>
      </w:tr>
      <w:tr>
        <w:tc>
          <w:tcPr>
            <w:tcW w:type="dxa" w:w="8640"/>
          </w:tcPr>
          <w:p>
            <w:r>
              <w:rPr>
                <w:sz w:val="20"/>
              </w:rPr>
              <w:t>Maintain Minnesota Green Schoolyards website</w:t>
            </w:r>
          </w:p>
        </w:tc>
        <w:tc>
          <w:tcPr>
            <w:tcW w:type="dxa" w:w="2160"/>
          </w:tcPr>
          <w:p>
            <w:pPr>
              <w:jc w:val="right"/>
            </w:pPr>
            <w:r>
              <w:rPr>
                <w:sz w:val="20"/>
              </w:rPr>
              <w:t>June 30 2024</w:t>
            </w:r>
          </w:p>
        </w:tc>
      </w:tr>
      <w:tr>
        <w:tc>
          <w:tcPr>
            <w:tcW w:type="dxa" w:w="8640"/>
          </w:tcPr>
          <w:p>
            <w:r>
              <w:rPr>
                <w:sz w:val="20"/>
              </w:rPr>
              <w:t>Provide technical assistance to nascent green schoolyard programs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Jaime Zaplatosch</w:t>
            </w:r>
          </w:p>
        </w:tc>
        <w:tc>
          <w:tcPr>
            <w:tcW w:type="dxa" w:w="1440"/>
          </w:tcPr>
          <w:p>
            <w:r>
              <w:rPr>
                <w:sz w:val="20"/>
              </w:rPr>
              <w:t>Children &amp; Nature Network (C&amp;NN)</w:t>
            </w:r>
          </w:p>
        </w:tc>
        <w:tc>
          <w:tcPr>
            <w:tcW w:type="dxa" w:w="6840"/>
          </w:tcPr>
          <w:p>
            <w:r>
              <w:rPr>
                <w:sz w:val="20"/>
              </w:rPr>
              <w:t>Children &amp; Nature Network will be on the Advisory Committee. Jaime will provide technical assistance to the three school districts undergoing schoolyard renovations. She will help facilitate the advisory committee and other statewide planning efforts alongside TPL. C&amp;NN leads a global movement to increase children's access to nature.</w:t>
            </w:r>
          </w:p>
        </w:tc>
        <w:tc>
          <w:tcPr>
            <w:tcW w:type="dxa" w:w="1080"/>
          </w:tcPr>
          <w:p>
            <w:r>
              <w:rPr>
                <w:sz w:val="20"/>
              </w:rPr>
              <w:t>Yes</w:t>
            </w:r>
          </w:p>
        </w:tc>
      </w:tr>
      <w:tr>
        <w:tc>
          <w:tcPr>
            <w:tcW w:type="dxa" w:w="1440"/>
          </w:tcPr>
          <w:p>
            <w:r>
              <w:rPr>
                <w:sz w:val="20"/>
              </w:rPr>
              <w:t>Jeremy Vann</w:t>
            </w:r>
          </w:p>
        </w:tc>
        <w:tc>
          <w:tcPr>
            <w:tcW w:type="dxa" w:w="1440"/>
          </w:tcPr>
          <w:p>
            <w:r>
              <w:rPr>
                <w:sz w:val="20"/>
              </w:rPr>
              <w:t>Minnesota Department of Health - SHIP</w:t>
            </w:r>
          </w:p>
        </w:tc>
        <w:tc>
          <w:tcPr>
            <w:tcW w:type="dxa" w:w="6840"/>
          </w:tcPr>
          <w:p>
            <w:r>
              <w:rPr>
                <w:sz w:val="20"/>
              </w:rPr>
              <w:t>Advisory Committee member representing Minnesota Department of Health Statewide Health Improvement Program (SHIP). SHIP supports community-driven solutions to expand opportunities for active living, healthy eating and commercial tobacco-free living, working directly with local SHIP staff who represent 41 Community Health Boards, covering all 87 counties.</w:t>
            </w:r>
          </w:p>
        </w:tc>
        <w:tc>
          <w:tcPr>
            <w:tcW w:type="dxa" w:w="1080"/>
          </w:tcPr>
          <w:p>
            <w:r>
              <w:rPr>
                <w:sz w:val="20"/>
              </w:rPr>
              <w:t>No</w:t>
            </w:r>
          </w:p>
        </w:tc>
      </w:tr>
      <w:tr>
        <w:tc>
          <w:tcPr>
            <w:tcW w:type="dxa" w:w="1440"/>
          </w:tcPr>
          <w:p>
            <w:r>
              <w:rPr>
                <w:sz w:val="20"/>
              </w:rPr>
              <w:t>Caryn Mohr</w:t>
            </w:r>
          </w:p>
        </w:tc>
        <w:tc>
          <w:tcPr>
            <w:tcW w:type="dxa" w:w="1440"/>
          </w:tcPr>
          <w:p>
            <w:r>
              <w:rPr>
                <w:sz w:val="20"/>
              </w:rPr>
              <w:t>University of Minnesota Extension - Regional Sustainable Development Partnership</w:t>
            </w:r>
          </w:p>
        </w:tc>
        <w:tc>
          <w:tcPr>
            <w:tcW w:type="dxa" w:w="6840"/>
          </w:tcPr>
          <w:p>
            <w:r>
              <w:rPr>
                <w:sz w:val="20"/>
              </w:rPr>
              <w:t>Advisory Committee member representing UMN Extension. Extension's Regional Sustainable Development Partnerships (RSDP) connect Greater Minnesota communities to the University of Minnesota to support local sustainability projects in rural Minnesota.</w:t>
            </w:r>
          </w:p>
        </w:tc>
        <w:tc>
          <w:tcPr>
            <w:tcW w:type="dxa" w:w="1080"/>
          </w:tcPr>
          <w:p>
            <w:r>
              <w:rPr>
                <w:sz w:val="20"/>
              </w:rPr>
              <w:t>No</w:t>
            </w:r>
          </w:p>
        </w:tc>
      </w:tr>
      <w:tr>
        <w:tc>
          <w:tcPr>
            <w:tcW w:type="dxa" w:w="1440"/>
          </w:tcPr>
          <w:p>
            <w:r>
              <w:rPr>
                <w:sz w:val="20"/>
              </w:rPr>
              <w:t>Shelli-Kae Foster</w:t>
            </w:r>
          </w:p>
        </w:tc>
        <w:tc>
          <w:tcPr>
            <w:tcW w:type="dxa" w:w="1440"/>
          </w:tcPr>
          <w:p>
            <w:r>
              <w:rPr>
                <w:sz w:val="20"/>
              </w:rPr>
              <w:t>Youth Eco Solutions (YES!)</w:t>
            </w:r>
          </w:p>
        </w:tc>
        <w:tc>
          <w:tcPr>
            <w:tcW w:type="dxa" w:w="6840"/>
          </w:tcPr>
          <w:p>
            <w:r>
              <w:rPr>
                <w:sz w:val="20"/>
              </w:rPr>
              <w:t>Advisory Committee member representing Youth Eco Solutions, a youth-led natural resources, and environment group. YES! will also support school planning and engagement activities.</w:t>
            </w:r>
          </w:p>
        </w:tc>
        <w:tc>
          <w:tcPr>
            <w:tcW w:type="dxa" w:w="1080"/>
          </w:tcPr>
          <w:p>
            <w:r>
              <w:rPr>
                <w:sz w:val="20"/>
              </w:rPr>
              <w:t>No</w:t>
            </w:r>
          </w:p>
        </w:tc>
      </w:tr>
      <w:tr>
        <w:tc>
          <w:tcPr>
            <w:tcW w:type="dxa" w:w="1440"/>
          </w:tcPr>
          <w:p>
            <w:r>
              <w:rPr>
                <w:sz w:val="20"/>
              </w:rPr>
              <w:t>Jonee Bingham Kuhlman</w:t>
            </w:r>
          </w:p>
        </w:tc>
        <w:tc>
          <w:tcPr>
            <w:tcW w:type="dxa" w:w="1440"/>
          </w:tcPr>
          <w:p>
            <w:r>
              <w:rPr>
                <w:sz w:val="20"/>
              </w:rPr>
              <w:t>University of Minnesota - GreenStep Schools</w:t>
            </w:r>
          </w:p>
        </w:tc>
        <w:tc>
          <w:tcPr>
            <w:tcW w:type="dxa" w:w="6840"/>
          </w:tcPr>
          <w:p>
            <w:r>
              <w:rPr>
                <w:sz w:val="20"/>
              </w:rPr>
              <w:t>Advisory Committee member representing GreenStep Schools which is a free and voluntary statewide best practices framework and recognition program for public and private K-12 schools and districts to reduce environmental impact and costs, and provide effective environmental and sustainability education. GreenStep Schools is housed at the University of Minnesota.</w:t>
            </w:r>
          </w:p>
        </w:tc>
        <w:tc>
          <w:tcPr>
            <w:tcW w:type="dxa" w:w="1080"/>
          </w:tcPr>
          <w:p>
            <w:r>
              <w:rPr>
                <w:sz w:val="20"/>
              </w:rPr>
              <w:t>No</w:t>
            </w:r>
          </w:p>
        </w:tc>
      </w:tr>
      <w:tr>
        <w:tc>
          <w:tcPr>
            <w:tcW w:type="dxa" w:w="1440"/>
          </w:tcPr>
          <w:p>
            <w:r>
              <w:rPr>
                <w:sz w:val="20"/>
              </w:rPr>
              <w:t>Karen Harrison</w:t>
            </w:r>
          </w:p>
        </w:tc>
        <w:tc>
          <w:tcPr>
            <w:tcW w:type="dxa" w:w="1440"/>
          </w:tcPr>
          <w:p>
            <w:r>
              <w:rPr>
                <w:sz w:val="20"/>
              </w:rPr>
              <w:t>Minnesota Department of Natural Resources - School Forests</w:t>
            </w:r>
          </w:p>
        </w:tc>
        <w:tc>
          <w:tcPr>
            <w:tcW w:type="dxa" w:w="6840"/>
          </w:tcPr>
          <w:p>
            <w:r>
              <w:rPr>
                <w:sz w:val="20"/>
              </w:rPr>
              <w:t>Advisory Committee member representing Minnesota Department of Natural Resources - School Forests Program. The Minnesota School Forest Program is a partnership between the Minnesota Department of Natural Resources and Minnesota schools. The program provides a variety of benefits to increase outdoor education activities.</w:t>
            </w:r>
          </w:p>
        </w:tc>
        <w:tc>
          <w:tcPr>
            <w:tcW w:type="dxa" w:w="1080"/>
          </w:tcPr>
          <w:p>
            <w:r>
              <w:rPr>
                <w:sz w:val="20"/>
              </w:rPr>
              <w:t>No</w:t>
            </w:r>
          </w:p>
        </w:tc>
      </w:tr>
      <w:tr>
        <w:tc>
          <w:tcPr>
            <w:tcW w:type="dxa" w:w="1440"/>
          </w:tcPr>
          <w:p>
            <w:r>
              <w:rPr>
                <w:sz w:val="20"/>
              </w:rPr>
              <w:t>Kristin Raab</w:t>
            </w:r>
          </w:p>
        </w:tc>
        <w:tc>
          <w:tcPr>
            <w:tcW w:type="dxa" w:w="1440"/>
          </w:tcPr>
          <w:p>
            <w:r>
              <w:rPr>
                <w:sz w:val="20"/>
              </w:rPr>
              <w:t>Minnesota Department of Health</w:t>
            </w:r>
          </w:p>
        </w:tc>
        <w:tc>
          <w:tcPr>
            <w:tcW w:type="dxa" w:w="6840"/>
          </w:tcPr>
          <w:p>
            <w:r>
              <w:rPr>
                <w:sz w:val="20"/>
              </w:rPr>
              <w:t>Advisory Committee member representing Minnesota Department of Health - Environmental Health division.</w:t>
            </w:r>
          </w:p>
        </w:tc>
        <w:tc>
          <w:tcPr>
            <w:tcW w:type="dxa" w:w="1080"/>
          </w:tcPr>
          <w:p>
            <w:r>
              <w:rPr>
                <w:sz w:val="20"/>
              </w:rPr>
              <w:t>No</w:t>
            </w:r>
          </w:p>
        </w:tc>
      </w:tr>
      <w:tr>
        <w:tc>
          <w:tcPr>
            <w:tcW w:type="dxa" w:w="1440"/>
          </w:tcPr>
          <w:p>
            <w:r>
              <w:rPr>
                <w:sz w:val="20"/>
              </w:rPr>
              <w:t>Anna Lynn</w:t>
            </w:r>
          </w:p>
        </w:tc>
        <w:tc>
          <w:tcPr>
            <w:tcW w:type="dxa" w:w="1440"/>
          </w:tcPr>
          <w:p>
            <w:r>
              <w:rPr>
                <w:sz w:val="20"/>
              </w:rPr>
              <w:t>Minnesota Department of Health</w:t>
            </w:r>
          </w:p>
        </w:tc>
        <w:tc>
          <w:tcPr>
            <w:tcW w:type="dxa" w:w="6840"/>
          </w:tcPr>
          <w:p>
            <w:r>
              <w:rPr>
                <w:sz w:val="20"/>
              </w:rPr>
              <w:t>Advisory Committee member representing Minnesota Department of Health Child and Family Health (CFH) division. CFH provides collaborative public health leadership that supports and strengthens systems to ensure healthy families and communities.</w:t>
            </w:r>
          </w:p>
        </w:tc>
        <w:tc>
          <w:tcPr>
            <w:tcW w:type="dxa" w:w="1080"/>
          </w:tcPr>
          <w:p>
            <w:r>
              <w:rPr>
                <w:sz w:val="20"/>
              </w:rPr>
              <w:t>No</w:t>
            </w:r>
          </w:p>
        </w:tc>
      </w:tr>
      <w:tr>
        <w:tc>
          <w:tcPr>
            <w:tcW w:type="dxa" w:w="1440"/>
          </w:tcPr>
          <w:p>
            <w:r>
              <w:rPr>
                <w:sz w:val="20"/>
              </w:rPr>
              <w:t>Jill Chamberlain</w:t>
            </w:r>
          </w:p>
        </w:tc>
        <w:tc>
          <w:tcPr>
            <w:tcW w:type="dxa" w:w="1440"/>
          </w:tcPr>
          <w:p>
            <w:r>
              <w:rPr>
                <w:sz w:val="20"/>
              </w:rPr>
              <w:t>Blue Cross Blue Shield of MN - Center for Prevention.</w:t>
            </w:r>
          </w:p>
        </w:tc>
        <w:tc>
          <w:tcPr>
            <w:tcW w:type="dxa" w:w="6840"/>
          </w:tcPr>
          <w:p>
            <w:r>
              <w:rPr>
                <w:sz w:val="20"/>
              </w:rPr>
              <w:t>Advisory Committee member representing a community-oriented business perspective, preventative health expert with deep statewide connections and experience with Safe Routes to School work. The Center for Prevention works statewide tackling the leading causes of preventable disease to increase health equity, transform communities, and create a healthier Minnesota.</w:t>
            </w:r>
          </w:p>
        </w:tc>
        <w:tc>
          <w:tcPr>
            <w:tcW w:type="dxa" w:w="1080"/>
          </w:tcPr>
          <w:p>
            <w:r>
              <w:rPr>
                <w:sz w:val="20"/>
              </w:rPr>
              <w:t>No</w:t>
            </w:r>
          </w:p>
        </w:tc>
      </w:tr>
      <w:tr>
        <w:tc>
          <w:tcPr>
            <w:tcW w:type="dxa" w:w="1440"/>
          </w:tcPr>
          <w:p>
            <w:r>
              <w:rPr>
                <w:sz w:val="20"/>
              </w:rPr>
              <w:t>John Olson</w:t>
            </w:r>
          </w:p>
        </w:tc>
        <w:tc>
          <w:tcPr>
            <w:tcW w:type="dxa" w:w="1440"/>
          </w:tcPr>
          <w:p>
            <w:r>
              <w:rPr>
                <w:sz w:val="20"/>
              </w:rPr>
              <w:t>Minnesota Department of Education</w:t>
            </w:r>
          </w:p>
        </w:tc>
        <w:tc>
          <w:tcPr>
            <w:tcW w:type="dxa" w:w="6840"/>
          </w:tcPr>
          <w:p>
            <w:r>
              <w:rPr>
                <w:sz w:val="20"/>
              </w:rPr>
              <w:t>Advisory Committee representing education, will bring deep statewide connections and network, and curriculum development skills.</w:t>
            </w:r>
          </w:p>
        </w:tc>
        <w:tc>
          <w:tcPr>
            <w:tcW w:type="dxa" w:w="1080"/>
          </w:tcPr>
          <w:p>
            <w:r>
              <w:rPr>
                <w:sz w:val="20"/>
              </w:rPr>
              <w:t>No</w:t>
            </w:r>
          </w:p>
        </w:tc>
      </w:tr>
      <w:tr>
        <w:tc>
          <w:tcPr>
            <w:tcW w:type="dxa" w:w="1440"/>
          </w:tcPr>
          <w:p>
            <w:r>
              <w:rPr>
                <w:sz w:val="20"/>
              </w:rPr>
              <w:t>Dave Cowan</w:t>
            </w:r>
          </w:p>
        </w:tc>
        <w:tc>
          <w:tcPr>
            <w:tcW w:type="dxa" w:w="1440"/>
          </w:tcPr>
          <w:p>
            <w:r>
              <w:rPr>
                <w:sz w:val="20"/>
              </w:rPr>
              <w:t>Minnesota Department of Transportation</w:t>
            </w:r>
          </w:p>
        </w:tc>
        <w:tc>
          <w:tcPr>
            <w:tcW w:type="dxa" w:w="6840"/>
          </w:tcPr>
          <w:p>
            <w:r>
              <w:rPr>
                <w:sz w:val="20"/>
              </w:rPr>
              <w:t>Advisory Committee member representing Minnesota Department of Transportation - Safe Routes to School.</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 primary goal of the project is to promote green schoolyards as a standard practice across our state. With baseline schoolyards data and local demonstration projects, we aim to raise awareness of the multiple benefits and collective impact of green schoolyards, garner local interest in a model proven to work in other parts of the country, and make the case for public and private funding. Data, evaluation, and success stories will be disseminated to decision-makers and the public through websites, statewide trainings, and resource creation.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Strategic Lands Protection</w:t>
            </w:r>
          </w:p>
        </w:tc>
        <w:tc>
          <w:tcPr>
            <w:tcW w:type="dxa" w:w="4680"/>
          </w:tcPr>
          <w:p>
            <w:r>
              <w:rPr>
                <w:sz w:val="20"/>
              </w:rPr>
              <w:t>M.L. 2015, Chp. 76, Sec. 2, Subd. 09f</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Eric Weiss</w:t>
      </w:r>
    </w:p>
    <w:p>
      <w:r>
        <w:rPr>
          <w:b/>
        </w:rPr>
        <w:t xml:space="preserve">Job Title: </w:t>
      </w:r>
      <w:r>
        <w:t>Program Director</w:t>
      </w:r>
    </w:p>
    <w:p>
      <w:r>
        <w:rPr>
          <w:b/>
        </w:rPr>
        <w:t xml:space="preserve">Provide description of the project manager’s qualifications to manage the proposed project. </w:t>
        <w:br/>
      </w:r>
      <w:r>
        <w:t>As a certified city planner, Eric's natural ability is to identify problems, seek solutions, bring people together, and view a topic from a holistic and future-oriented perspective. He has over 15 years of professional experience and has enjoyed working with communities in rural, suburban, and urban settings. He has taken his community planning background to roles in the public, nonprofit, private, and philanthropic sectors. Much of his work has been in project and program management, with particular attention paid to long-range planning, community engagement, parks planning, grants management, zoning, and public policy. Eric has been a member of countless collaborative initiatives, both as a committee member, staff member, and chair. As program director of TPL's Community Powered Parks program, Eric leads The Trust for Public Land’s Green Schoolyards Program in Minnesota. Eric holds an M.A. in Urban Planning from Minnesota State University, Mankato. In addition to his community planning career, Eric has paid and volunteer experience in the youth development field. He is supported by Susan Schmidt, Minnesota State Director, who has been with TPL for more than 20 years, and the many other TPL green schoolyards program managers across the country.</w:t>
      </w:r>
    </w:p>
    <w:p>
      <w:r>
        <w:rPr>
          <w:b/>
        </w:rPr>
        <w:t xml:space="preserve">Organization: </w:t>
      </w:r>
      <w:r>
        <w:t>The Trust for Public Land</w:t>
      </w:r>
    </w:p>
    <w:p>
      <w:r>
        <w:rPr>
          <w:b/>
        </w:rPr>
        <w:t xml:space="preserve">Organization Description: </w:t>
        <w:br/>
      </w:r>
      <w:r>
        <w:t>The mission of The Trust for Public Land is to create parks and protect land for people, ensuring healthy, livable communities for generations to come. We partner with local communities to plan their conservation priorities, fund their visions for landscapes, create the parks and trails they value, and protect the lands and waters critical to community health. While TPL places a major focus on improving public access and protecting land for people, we also take very seriously the critical environmental benefits our work provides. Since 1972, TPL has preserved more than 3.5 million acres, created or transformed close to 2,000 parks, playgrounds, and gardens, and developed more than 2,000 miles of trails across the United States. Our schoolyards program has helped to renovate hundreds of schoolyards across the country, with dozens of projects currently in process of completion in cities like Atlanta, Dallas, and Denver and rural communities like Chiloquin, Oregon. Our Minnesota office has completed more than 200 land protection and park creation projects since 1986, permanently protecting and providing public access to nearly 200,000 acres of natural resource-rich land.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&amp; Innovation Staff</w:t>
            </w:r>
          </w:p>
        </w:tc>
        <w:tc>
          <w:tcPr>
            <w:tcW w:type="dxa" w:w="1440"/>
          </w:tcPr>
          <w:p>
            <w:r>
              <w:rPr>
                <w:sz w:val="20"/>
              </w:rPr>
            </w:r>
          </w:p>
        </w:tc>
        <w:tc>
          <w:tcPr>
            <w:tcW w:type="dxa" w:w="5472"/>
          </w:tcPr>
          <w:p>
            <w:r>
              <w:rPr>
                <w:sz w:val="20"/>
              </w:rPr>
              <w:t>Evaluation of schoolyard site projects</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$3,000</w:t>
            </w:r>
          </w:p>
        </w:tc>
      </w:tr>
      <w:tr>
        <w:tc>
          <w:tcPr>
            <w:tcW w:type="dxa" w:w="864"/>
          </w:tcPr>
          <w:p>
            <w:r>
              <w:rPr>
                <w:sz w:val="20"/>
              </w:rPr>
              <w:t>Public Ally Support Intern</w:t>
            </w:r>
          </w:p>
        </w:tc>
        <w:tc>
          <w:tcPr>
            <w:tcW w:type="dxa" w:w="1440"/>
          </w:tcPr>
          <w:p>
            <w:r>
              <w:rPr>
                <w:sz w:val="20"/>
              </w:rPr>
            </w:r>
          </w:p>
        </w:tc>
        <w:tc>
          <w:tcPr>
            <w:tcW w:type="dxa" w:w="5472"/>
          </w:tcPr>
          <w:p>
            <w:r>
              <w:rPr>
                <w:sz w:val="20"/>
              </w:rPr>
              <w:t>Project and community engagement support</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$21,000</w:t>
            </w:r>
          </w:p>
        </w:tc>
      </w:tr>
      <w:tr>
        <w:tc>
          <w:tcPr>
            <w:tcW w:type="dxa" w:w="864"/>
          </w:tcPr>
          <w:p>
            <w:r>
              <w:rPr>
                <w:sz w:val="20"/>
              </w:rPr>
              <w:t>Project Staff</w:t>
            </w:r>
          </w:p>
        </w:tc>
        <w:tc>
          <w:tcPr>
            <w:tcW w:type="dxa" w:w="1440"/>
          </w:tcPr>
          <w:p>
            <w:r>
              <w:rPr>
                <w:sz w:val="20"/>
              </w:rPr>
            </w:r>
          </w:p>
        </w:tc>
        <w:tc>
          <w:tcPr>
            <w:tcW w:type="dxa" w:w="5472"/>
          </w:tcPr>
          <w:p>
            <w:r>
              <w:rPr>
                <w:sz w:val="20"/>
              </w:rPr>
              <w:t>Project management and support, technical assistance provider, advisory committee coordination, data analysis support</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1.08</w:t>
            </w:r>
          </w:p>
        </w:tc>
        <w:tc>
          <w:tcPr>
            <w:tcW w:type="dxa" w:w="360"/>
          </w:tcPr>
          <w:p>
            <w:r>
              <w:rPr>
                <w:sz w:val="20"/>
              </w:rPr>
            </w:r>
          </w:p>
        </w:tc>
        <w:tc>
          <w:tcPr>
            <w:tcW w:type="dxa" w:w="1152"/>
          </w:tcPr>
          <w:p>
            <w:pPr>
              <w:jc w:val="right"/>
            </w:pPr>
            <w:r>
              <w:rPr>
                <w:sz w:val="20"/>
              </w:rPr>
              <w:t>$143,000</w:t>
            </w:r>
          </w:p>
        </w:tc>
      </w:tr>
      <w:tr>
        <w:tc>
          <w:tcPr>
            <w:tcW w:type="dxa" w:w="864"/>
          </w:tcPr>
          <w:p>
            <w:r>
              <w:rPr>
                <w:sz w:val="20"/>
              </w:rPr>
              <w:t>Project Assistant</w:t>
            </w:r>
          </w:p>
        </w:tc>
        <w:tc>
          <w:tcPr>
            <w:tcW w:type="dxa" w:w="1440"/>
          </w:tcPr>
          <w:p>
            <w:r>
              <w:rPr>
                <w:sz w:val="20"/>
              </w:rPr>
            </w:r>
          </w:p>
        </w:tc>
        <w:tc>
          <w:tcPr>
            <w:tcW w:type="dxa" w:w="5472"/>
          </w:tcPr>
          <w:p>
            <w:r>
              <w:rPr>
                <w:sz w:val="20"/>
              </w:rPr>
              <w:t>Project and community engagement support, technical assistance</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1.16</w:t>
            </w:r>
          </w:p>
        </w:tc>
        <w:tc>
          <w:tcPr>
            <w:tcW w:type="dxa" w:w="360"/>
          </w:tcPr>
          <w:p>
            <w:r>
              <w:rPr>
                <w:sz w:val="20"/>
              </w:rPr>
            </w:r>
          </w:p>
        </w:tc>
        <w:tc>
          <w:tcPr>
            <w:tcW w:type="dxa" w:w="1152"/>
          </w:tcPr>
          <w:p>
            <w:pPr>
              <w:jc w:val="right"/>
            </w:pPr>
            <w:r>
              <w:rPr>
                <w:sz w:val="20"/>
              </w:rPr>
              <w:t>$120,000</w:t>
            </w:r>
          </w:p>
        </w:tc>
      </w:tr>
      <w:tr>
        <w:tc>
          <w:tcPr>
            <w:tcW w:type="dxa" w:w="864"/>
          </w:tcPr>
          <w:p>
            <w:r>
              <w:rPr>
                <w:sz w:val="20"/>
              </w:rPr>
              <w:t>Legal Staff</w:t>
            </w:r>
          </w:p>
        </w:tc>
        <w:tc>
          <w:tcPr>
            <w:tcW w:type="dxa" w:w="1440"/>
          </w:tcPr>
          <w:p>
            <w:r>
              <w:rPr>
                <w:sz w:val="20"/>
              </w:rPr>
            </w:r>
          </w:p>
        </w:tc>
        <w:tc>
          <w:tcPr>
            <w:tcW w:type="dxa" w:w="5472"/>
          </w:tcPr>
          <w:p>
            <w:r>
              <w:rPr>
                <w:sz w:val="20"/>
              </w:rPr>
              <w:t>Legal documents and agreements</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$7,500</w:t>
            </w:r>
          </w:p>
        </w:tc>
      </w:tr>
      <w:tr>
        <w:tc>
          <w:tcPr>
            <w:tcW w:type="dxa" w:w="864"/>
          </w:tcPr>
          <w:p>
            <w:r>
              <w:rPr>
                <w:sz w:val="20"/>
              </w:rPr>
              <w:t>Finance Staff</w:t>
            </w:r>
          </w:p>
        </w:tc>
        <w:tc>
          <w:tcPr>
            <w:tcW w:type="dxa" w:w="1440"/>
          </w:tcPr>
          <w:p>
            <w:r>
              <w:rPr>
                <w:sz w:val="20"/>
              </w:rPr>
            </w:r>
          </w:p>
        </w:tc>
        <w:tc>
          <w:tcPr>
            <w:tcW w:type="dxa" w:w="5472"/>
          </w:tcPr>
          <w:p>
            <w:r>
              <w:rPr>
                <w:sz w:val="20"/>
              </w:rPr>
              <w:t>Finance support, invoicing</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$303,500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Children &amp; Nature Network (C&amp;NN)</w:t>
            </w:r>
          </w:p>
        </w:tc>
        <w:tc>
          <w:tcPr>
            <w:tcW w:type="dxa" w:w="1440"/>
          </w:tcPr>
          <w:p>
            <w:r>
              <w:rPr>
                <w:sz w:val="20"/>
              </w:rPr>
              <w:t>Sub award</w:t>
            </w:r>
          </w:p>
        </w:tc>
        <w:tc>
          <w:tcPr>
            <w:tcW w:type="dxa" w:w="5472"/>
          </w:tcPr>
          <w:p>
            <w:r>
              <w:rPr>
                <w:sz w:val="20"/>
              </w:rPr>
              <w:t>Capacity building, advisory committee and network support, technical assistance, communications support, resource creation.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$13,500</w:t>
            </w:r>
          </w:p>
        </w:tc>
      </w:tr>
      <w:tr>
        <w:tc>
          <w:tcPr>
            <w:tcW w:type="dxa" w:w="864"/>
          </w:tcPr>
          <w:p>
            <w:r>
              <w:rPr>
                <w:sz w:val="20"/>
              </w:rPr>
              <w:t>Undetermined</w:t>
            </w:r>
          </w:p>
        </w:tc>
        <w:tc>
          <w:tcPr>
            <w:tcW w:type="dxa" w:w="1440"/>
          </w:tcPr>
          <w:p>
            <w:r>
              <w:rPr>
                <w:sz w:val="20"/>
              </w:rPr>
              <w:t>Sub award</w:t>
            </w:r>
          </w:p>
        </w:tc>
        <w:tc>
          <w:tcPr>
            <w:tcW w:type="dxa" w:w="5472"/>
          </w:tcPr>
          <w:p>
            <w:r>
              <w:rPr>
                <w:sz w:val="20"/>
              </w:rPr>
              <w:t>Community Engagement Partner. Support, at each site, to a community and/or environmental organization to support school demonstration sites in community engagement and education, curriculum development, and site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$15,000</w:t>
            </w:r>
          </w:p>
        </w:tc>
      </w:tr>
      <w:tr>
        <w:tc>
          <w:tcPr>
            <w:tcW w:type="dxa" w:w="864"/>
          </w:tcPr>
          <w:p>
            <w:r>
              <w:rPr>
                <w:sz w:val="20"/>
              </w:rPr>
              <w:t>Landscape Architecture</w:t>
            </w:r>
          </w:p>
        </w:tc>
        <w:tc>
          <w:tcPr>
            <w:tcW w:type="dxa" w:w="1440"/>
          </w:tcPr>
          <w:p>
            <w:r>
              <w:rPr>
                <w:sz w:val="20"/>
              </w:rPr>
              <w:t>Professional or Technical Service Contract</w:t>
            </w:r>
          </w:p>
        </w:tc>
        <w:tc>
          <w:tcPr>
            <w:tcW w:type="dxa" w:w="5472"/>
          </w:tcPr>
          <w:p>
            <w:r>
              <w:rPr>
                <w:sz w:val="20"/>
              </w:rPr>
              <w:t>Design-build landscape architecture consultant to support site-specific schoolyard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$195,000</w:t>
            </w:r>
          </w:p>
        </w:tc>
      </w:tr>
      <w:tr>
        <w:tc>
          <w:tcPr>
            <w:tcW w:type="dxa" w:w="864"/>
          </w:tcPr>
          <w:p>
            <w:r>
              <w:rPr>
                <w:sz w:val="20"/>
              </w:rPr>
              <w:t>Undetermined</w:t>
            </w:r>
          </w:p>
        </w:tc>
        <w:tc>
          <w:tcPr>
            <w:tcW w:type="dxa" w:w="1440"/>
          </w:tcPr>
          <w:p>
            <w:r>
              <w:rPr>
                <w:sz w:val="20"/>
              </w:rPr>
              <w:t>Sub award</w:t>
            </w:r>
          </w:p>
        </w:tc>
        <w:tc>
          <w:tcPr>
            <w:tcW w:type="dxa" w:w="5472"/>
          </w:tcPr>
          <w:p>
            <w:r>
              <w:rPr>
                <w:sz w:val="20"/>
              </w:rPr>
              <w:t>Demonstration school staffing. Support to selected demonstration project school sites to cover staff time during planning, engagement, and programmatic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$15,000</w:t>
            </w:r>
          </w:p>
        </w:tc>
      </w:tr>
      <w:tr>
        <w:tc>
          <w:tcPr>
            <w:tcW w:type="dxa" w:w="864"/>
          </w:tcPr>
          <w:p>
            <w:r>
              <w:rPr>
                <w:sz w:val="20"/>
              </w:rPr>
              <w:t>Undetermined</w:t>
            </w:r>
          </w:p>
        </w:tc>
        <w:tc>
          <w:tcPr>
            <w:tcW w:type="dxa" w:w="1440"/>
          </w:tcPr>
          <w:p>
            <w:r>
              <w:rPr>
                <w:sz w:val="20"/>
              </w:rPr>
              <w:t>Professional or Technical Service Contract</w:t>
            </w:r>
          </w:p>
        </w:tc>
        <w:tc>
          <w:tcPr>
            <w:tcW w:type="dxa" w:w="5472"/>
          </w:tcPr>
          <w:p>
            <w:r>
              <w:rPr>
                <w:sz w:val="20"/>
              </w:rPr>
              <w:t>Permits, surveys, and approvals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$313,500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Green Schoolyards Capital</w:t>
            </w:r>
          </w:p>
        </w:tc>
        <w:tc>
          <w:tcPr>
            <w:tcW w:type="dxa" w:w="4032"/>
          </w:tcPr>
          <w:p>
            <w:r>
              <w:rPr>
                <w:sz w:val="20"/>
              </w:rPr>
              <w:t>Green Schoolyards construction and infrastructure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expenses</w:t>
            </w:r>
          </w:p>
        </w:tc>
        <w:tc>
          <w:tcPr>
            <w:tcW w:type="dxa" w:w="4032"/>
          </w:tcPr>
          <w:p>
            <w:r>
              <w:rPr>
                <w:sz w:val="20"/>
              </w:rPr>
              <w:t>Travel to school sites for partner meetings, events, and engagements. Travel expenses will be dependent on selected location and reflect the potential need for mileage and overnight stays. Costs may be reallocated if sites selection reduces need for long travel.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Green schoolyards resource printing hard copies</w:t>
            </w:r>
          </w:p>
        </w:tc>
        <w:tc>
          <w:tcPr>
            <w:tcW w:type="dxa" w:w="4032"/>
          </w:tcPr>
          <w:p>
            <w:r>
              <w:rPr>
                <w:sz w:val="20"/>
              </w:rPr>
              <w:t>Print and share statewide assessment findings, school resources, and environmental curriculum.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Stewardship and Activation</w:t>
            </w:r>
          </w:p>
        </w:tc>
        <w:tc>
          <w:tcPr>
            <w:tcW w:type="dxa" w:w="4032"/>
          </w:tcPr>
          <w:p>
            <w:r>
              <w:rPr>
                <w:sz w:val="20"/>
              </w:rPr>
              <w:t>Schoolyard maintenance, activation, and programming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$1,088,000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operating funds and Blue Cross Blue Shield</w:t>
            </w:r>
          </w:p>
        </w:tc>
        <w:tc>
          <w:tcPr>
            <w:tcW w:type="dxa" w:w="6120"/>
          </w:tcPr>
          <w:p>
            <w:r>
              <w:rPr>
                <w:sz w:val="20"/>
              </w:rPr>
              <w:t>Project management</w:t>
            </w:r>
          </w:p>
        </w:tc>
        <w:tc>
          <w:tcPr>
            <w:tcW w:type="dxa" w:w="1080"/>
          </w:tcPr>
          <w:p>
            <w:r>
              <w:rPr>
                <w:sz w:val="20"/>
              </w:rPr>
              <w:t>Secured</w:t>
            </w:r>
          </w:p>
        </w:tc>
        <w:tc>
          <w:tcPr>
            <w:tcW w:type="dxa" w:w="1440"/>
          </w:tcPr>
          <w:p>
            <w:pPr>
              <w:jc w:val="right"/>
            </w:pPr>
            <w:r>
              <w:rPr>
                <w:sz w:val="20"/>
              </w:rPr>
              <w:t>$47,500</w:t>
            </w:r>
          </w:p>
        </w:tc>
      </w:tr>
      <w:tr>
        <w:tc>
          <w:tcPr>
            <w:tcW w:type="dxa" w:w="1080"/>
          </w:tcPr>
          <w:p>
            <w:r>
              <w:rPr>
                <w:sz w:val="20"/>
              </w:rPr>
              <w:t>In-Kind</w:t>
            </w:r>
          </w:p>
        </w:tc>
        <w:tc>
          <w:tcPr>
            <w:tcW w:type="dxa" w:w="4680"/>
          </w:tcPr>
          <w:p>
            <w:r>
              <w:rPr>
                <w:sz w:val="20"/>
              </w:rPr>
              <w:t>General operating</w:t>
            </w:r>
          </w:p>
        </w:tc>
        <w:tc>
          <w:tcPr>
            <w:tcW w:type="dxa" w:w="6120"/>
          </w:tcPr>
          <w:p>
            <w:r>
              <w:rPr>
                <w:sz w:val="20"/>
              </w:rPr>
              <w:t>Advisory Committee membership and project support</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Cash</w:t>
            </w:r>
          </w:p>
        </w:tc>
        <w:tc>
          <w:tcPr>
            <w:tcW w:type="dxa" w:w="4680"/>
          </w:tcPr>
          <w:p>
            <w:r>
              <w:rPr>
                <w:sz w:val="20"/>
              </w:rPr>
              <w:t>Capital budget</w:t>
            </w:r>
          </w:p>
        </w:tc>
        <w:tc>
          <w:tcPr>
            <w:tcW w:type="dxa" w:w="6120"/>
          </w:tcPr>
          <w:p>
            <w:r>
              <w:rPr>
                <w:sz w:val="20"/>
              </w:rPr>
              <w:t>Schoolyard site matching funds</w:t>
            </w:r>
          </w:p>
        </w:tc>
        <w:tc>
          <w:tcPr>
            <w:tcW w:type="dxa" w:w="1080"/>
          </w:tcPr>
          <w:p>
            <w:r>
              <w:rPr>
                <w:sz w:val="20"/>
              </w:rPr>
              <w:t>Pending</w:t>
            </w:r>
          </w:p>
        </w:tc>
        <w:tc>
          <w:tcPr>
            <w:tcW w:type="dxa" w:w="1440"/>
          </w:tcPr>
          <w:p>
            <w:pPr>
              <w:jc w:val="right"/>
            </w:pPr>
            <w:r>
              <w:rPr>
                <w:sz w:val="20"/>
              </w:rPr>
              <w:t>$75,000</w:t>
            </w:r>
          </w:p>
        </w:tc>
      </w:tr>
      <w:tr>
        <w:tc>
          <w:tcPr>
            <w:tcW w:type="dxa" w:w="1080"/>
          </w:tcPr>
          <w:p>
            <w:r>
              <w:rPr>
                <w:sz w:val="20"/>
              </w:rPr>
              <w:t>In-Kind</w:t>
            </w:r>
          </w:p>
        </w:tc>
        <w:tc>
          <w:tcPr>
            <w:tcW w:type="dxa" w:w="4680"/>
          </w:tcPr>
          <w:p>
            <w:r>
              <w:rPr>
                <w:sz w:val="20"/>
              </w:rPr>
              <w:t>General operating</w:t>
            </w:r>
          </w:p>
        </w:tc>
        <w:tc>
          <w:tcPr>
            <w:tcW w:type="dxa" w:w="6120"/>
          </w:tcPr>
          <w:p>
            <w:r>
              <w:rPr>
                <w:sz w:val="20"/>
              </w:rPr>
              <w:t>Webpage management</w:t>
            </w:r>
          </w:p>
        </w:tc>
        <w:tc>
          <w:tcPr>
            <w:tcW w:type="dxa" w:w="1080"/>
          </w:tcPr>
          <w:p>
            <w:r>
              <w:rPr>
                <w:sz w:val="20"/>
              </w:rPr>
              <w:t>Secured</w:t>
            </w:r>
          </w:p>
        </w:tc>
        <w:tc>
          <w:tcPr>
            <w:tcW w:type="dxa" w:w="1440"/>
          </w:tcPr>
          <w:p>
            <w:pPr>
              <w:jc w:val="right"/>
            </w:pPr>
            <w:r>
              <w:rPr>
                <w:sz w:val="20"/>
              </w:rPr>
              <w:t>$1,500</w:t>
            </w:r>
          </w:p>
        </w:tc>
      </w:tr>
      <w:tr>
        <w:tc>
          <w:tcPr>
            <w:tcW w:type="dxa" w:w="1080"/>
          </w:tcPr>
          <w:p>
            <w:r>
              <w:rPr>
                <w:sz w:val="20"/>
              </w:rPr>
              <w:t>In-Kind</w:t>
            </w:r>
          </w:p>
        </w:tc>
        <w:tc>
          <w:tcPr>
            <w:tcW w:type="dxa" w:w="4680"/>
          </w:tcPr>
          <w:p>
            <w:r>
              <w:rPr>
                <w:sz w:val="20"/>
              </w:rPr>
              <w:t>JPB Foundation</w:t>
            </w:r>
          </w:p>
        </w:tc>
        <w:tc>
          <w:tcPr>
            <w:tcW w:type="dxa" w:w="6120"/>
          </w:tcPr>
          <w:p>
            <w:r>
              <w:rPr>
                <w:sz w:val="20"/>
              </w:rPr>
              <w:t>Capacity building and technical assistance</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General operating</w:t>
            </w:r>
          </w:p>
        </w:tc>
        <w:tc>
          <w:tcPr>
            <w:tcW w:type="dxa" w:w="6120"/>
          </w:tcPr>
          <w:p>
            <w:r>
              <w:rPr>
                <w:sz w:val="20"/>
              </w:rPr>
              <w:t>School staff involvement</w:t>
            </w:r>
          </w:p>
        </w:tc>
        <w:tc>
          <w:tcPr>
            <w:tcW w:type="dxa" w:w="1080"/>
          </w:tcPr>
          <w:p>
            <w:r>
              <w:rPr>
                <w:sz w:val="20"/>
              </w:rPr>
              <w:t>Pending</w:t>
            </w:r>
          </w:p>
        </w:tc>
        <w:tc>
          <w:tcPr>
            <w:tcW w:type="dxa" w:w="1440"/>
          </w:tcPr>
          <w:p>
            <w:pPr>
              <w:jc w:val="right"/>
            </w:pPr>
            <w:r>
              <w:rPr>
                <w:sz w:val="20"/>
              </w:rPr>
              <w:t>$15,000</w:t>
            </w:r>
          </w:p>
        </w:tc>
      </w:tr>
      <w:tr>
        <w:tc>
          <w:tcPr>
            <w:tcW w:type="dxa" w:w="1080"/>
          </w:tcPr>
          <w:p>
            <w:r>
              <w:rPr>
                <w:sz w:val="20"/>
              </w:rPr>
              <w:t>In-Kind</w:t>
            </w:r>
          </w:p>
        </w:tc>
        <w:tc>
          <w:tcPr>
            <w:tcW w:type="dxa" w:w="4680"/>
          </w:tcPr>
          <w:p>
            <w:r>
              <w:rPr>
                <w:sz w:val="20"/>
              </w:rPr>
              <w:t>Grant funds</w:t>
            </w:r>
          </w:p>
        </w:tc>
        <w:tc>
          <w:tcPr>
            <w:tcW w:type="dxa" w:w="6120"/>
          </w:tcPr>
          <w:p>
            <w:r>
              <w:rPr>
                <w:sz w:val="20"/>
              </w:rPr>
              <w:t>Capacity support</w:t>
            </w:r>
          </w:p>
        </w:tc>
        <w:tc>
          <w:tcPr>
            <w:tcW w:type="dxa" w:w="1080"/>
          </w:tcPr>
          <w:p>
            <w:r>
              <w:rPr>
                <w:sz w:val="20"/>
              </w:rPr>
              <w:t>Potential</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8c6b886f-5b6.pdf</w:t>
          </w:r>
        </w:hyperlink>
      </w:r>
    </w:p>
    <w:p>
      <w:pPr>
        <w:pStyle w:val="Heading4"/>
        <w:spacing w:before="40" w:after="20"/>
      </w:pPr>
      <w:r>
        <w:rPr>
          <w:b/>
          <w:i/>
          <w:color w:val="000000"/>
          <w:sz w:val="24"/>
        </w:rPr>
        <w:t>Alternate Text for Visual Component</w:t>
      </w:r>
    </w:p>
    <w:p>
      <w:r>
        <w:t>Minnesota Green Schoolyards - The Trust for Public Land (with image of green schoolyard)</w:t>
        <w:br/>
        <w:t xml:space="preserve">Minnesota Green Schoolyards builds schoolyards packed with trees, native plants and grasses, gardens, and infrastructure that capture and treat stormwater. </w:t>
        <w:br/>
        <w:t>- Are designed to be park-like places</w:t>
        <w:br/>
        <w:t>- Designed to improve and protect the environment</w:t>
        <w:br/>
        <w:t>- Foster next-generation stewards</w:t>
        <w:br/>
        <w:t>- Designed by the community, for the community</w:t>
        <w:br/>
        <w:t xml:space="preserve">- Shared spaces that are open and welcoming to the public </w:t>
        <w:br/>
        <w:br/>
        <w:t>Images of menu of poss...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bc052eac-41b.pdf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Letter</w:t>
            </w:r>
          </w:p>
        </w:tc>
        <w:tc>
          <w:tcPr>
            <w:tcW w:type="dxa" w:w="5400"/>
          </w:tcPr>
          <w:p>
            <w:r>
              <w:rPr>
                <w:sz w:val="20"/>
              </w:rPr>
            </w:r>
            <w:r>
              <w:rPr>
                <w:color w:val="000000" w:themeColor="hyperlink"/>
                <w:sz w:val="20"/>
                <w:u w:val="single"/>
              </w:rPr>
              <w:hyperlink r:id="rId19">
                <w:r>
                  <w:rPr/>
                  <w:t>78b14a4f-885.docx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Department of Health Letter of Support</w:t>
            </w:r>
          </w:p>
        </w:tc>
        <w:tc>
          <w:tcPr>
            <w:tcW w:type="dxa" w:w="5400"/>
          </w:tcPr>
          <w:p>
            <w:r>
              <w:rPr>
                <w:sz w:val="20"/>
              </w:rPr>
            </w:r>
            <w:r>
              <w:rPr>
                <w:color w:val="000000" w:themeColor="hyperlink"/>
                <w:sz w:val="20"/>
                <w:u w:val="single"/>
              </w:rPr>
              <w:hyperlink r:id="rId20">
                <w:r>
                  <w:rPr/>
                  <w:t>7bfbba08-86c.pdf</w:t>
                </w:r>
              </w:hyperlink>
            </w:r>
          </w:p>
        </w:tc>
      </w:tr>
      <w:tr>
        <w:tc>
          <w:tcPr>
            <w:tcW w:type="dxa" w:w="5400"/>
          </w:tcPr>
          <w:p>
            <w:r>
              <w:rPr>
                <w:sz w:val="20"/>
              </w:rPr>
              <w:t>Minnesota Safe Routes to School Letter of Support</w:t>
            </w:r>
          </w:p>
        </w:tc>
        <w:tc>
          <w:tcPr>
            <w:tcW w:type="dxa" w:w="5400"/>
          </w:tcPr>
          <w:p>
            <w:r>
              <w:rPr>
                <w:sz w:val="20"/>
              </w:rPr>
            </w:r>
            <w:r>
              <w:rPr>
                <w:color w:val="000000" w:themeColor="hyperlink"/>
                <w:sz w:val="20"/>
                <w:u w:val="single"/>
              </w:rPr>
              <w:hyperlink r:id="rId21">
                <w:r>
                  <w:rPr/>
                  <w:t>7ae53a68-c4f.pdf</w:t>
                </w:r>
              </w:hyperlink>
            </w:r>
          </w:p>
        </w:tc>
      </w:tr>
      <w:tr>
        <w:tc>
          <w:tcPr>
            <w:tcW w:type="dxa" w:w="5400"/>
          </w:tcPr>
          <w:p>
            <w:r>
              <w:rPr>
                <w:sz w:val="20"/>
              </w:rPr>
              <w:t>Children and Nature Network Letter of Support</w:t>
            </w:r>
          </w:p>
        </w:tc>
        <w:tc>
          <w:tcPr>
            <w:tcW w:type="dxa" w:w="5400"/>
          </w:tcPr>
          <w:p>
            <w:r>
              <w:rPr>
                <w:sz w:val="20"/>
              </w:rPr>
            </w:r>
            <w:r>
              <w:rPr>
                <w:color w:val="000000" w:themeColor="hyperlink"/>
                <w:sz w:val="20"/>
                <w:u w:val="single"/>
              </w:rPr>
              <w:hyperlink r:id="rId22">
                <w:r>
                  <w:rPr/>
                  <w:t>dbb9aaad-dd8.pdf</w:t>
                </w:r>
              </w:hyperlink>
            </w:r>
          </w:p>
        </w:tc>
      </w:tr>
      <w:tr>
        <w:tc>
          <w:tcPr>
            <w:tcW w:type="dxa" w:w="5400"/>
          </w:tcPr>
          <w:p>
            <w:r>
              <w:rPr>
                <w:sz w:val="20"/>
              </w:rPr>
              <w:t>Blue Cross Blue Shield Letter of Support</w:t>
            </w:r>
          </w:p>
        </w:tc>
        <w:tc>
          <w:tcPr>
            <w:tcW w:type="dxa" w:w="5400"/>
          </w:tcPr>
          <w:p>
            <w:r>
              <w:rPr>
                <w:sz w:val="20"/>
              </w:rPr>
            </w:r>
            <w:r>
              <w:rPr>
                <w:color w:val="000000" w:themeColor="hyperlink"/>
                <w:sz w:val="20"/>
                <w:u w:val="single"/>
              </w:rPr>
              <w:hyperlink r:id="rId23">
                <w:r>
                  <w:rPr/>
                  <w:t>eff2f50e-6b4.doc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c6b886f-5b6.pdf" TargetMode="External"/><Relationship Id="rId18" Type="http://schemas.openxmlformats.org/officeDocument/2006/relationships/hyperlink" Target="https://lccmrprojectmgmt.leg.mn/media/financial_capacity/bc052eac-41b.pdf" TargetMode="External"/><Relationship Id="rId19" Type="http://schemas.openxmlformats.org/officeDocument/2006/relationships/hyperlink" Target="https://lccmrprojectmgmt.leg.mn/media/attachments/78b14a4f-885.docx" TargetMode="External"/><Relationship Id="rId20" Type="http://schemas.openxmlformats.org/officeDocument/2006/relationships/hyperlink" Target="https://lccmrprojectmgmt.leg.mn/media/attachments/7bfbba08-86c.pdf" TargetMode="External"/><Relationship Id="rId21" Type="http://schemas.openxmlformats.org/officeDocument/2006/relationships/hyperlink" Target="https://lccmrprojectmgmt.leg.mn/media/attachments/7ae53a68-c4f.pdf" TargetMode="External"/><Relationship Id="rId22" Type="http://schemas.openxmlformats.org/officeDocument/2006/relationships/hyperlink" Target="https://lccmrprojectmgmt.leg.mn/media/attachments/dbb9aaad-dd8.pdf" TargetMode="External"/><Relationship Id="rId23" Type="http://schemas.openxmlformats.org/officeDocument/2006/relationships/hyperlink" Target="https://lccmrprojectmgmt.leg.mn/media/attachments/eff2f50e-6b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Green Schoolyards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