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2022-076</w:t>
      </w:r>
    </w:p>
    <w:p>
      <w:r>
        <w:rPr>
          <w:b/>
        </w:rPr>
        <w:t xml:space="preserve">Proposal Title: </w:t>
      </w:r>
      <w:r>
        <w:t>Modernizing Minnesota’s Digital Lake Inventory</w:t>
      </w:r>
    </w:p>
    <w:p/>
    <w:p>
      <w:pPr>
        <w:pStyle w:val="Heading2"/>
        <w:spacing w:before="0" w:after="80"/>
      </w:pPr>
      <w:r>
        <w:rPr>
          <w:b/>
          <w:color w:val="2C559C"/>
          <w:sz w:val="28"/>
        </w:rPr>
        <w:t>Project Manager Information</w:t>
      </w:r>
    </w:p>
    <w:p>
      <w:r>
        <w:rPr>
          <w:b/>
        </w:rPr>
        <w:t xml:space="preserve">Name: </w:t>
      </w:r>
      <w:r>
        <w:t>Steve Kloiber</w:t>
      </w:r>
    </w:p>
    <w:p>
      <w:r>
        <w:rPr>
          <w:b/>
        </w:rPr>
        <w:t xml:space="preserve">Organization: </w:t>
      </w:r>
      <w:r>
        <w:t>MN DNR - Ecological and Water Resources Division</w:t>
      </w:r>
    </w:p>
    <w:p>
      <w:r>
        <w:rPr>
          <w:b/>
        </w:rPr>
        <w:t xml:space="preserve">Office Telephone: </w:t>
      </w:r>
      <w:r>
        <w:t>(651) 259-5155</w:t>
      </w:r>
    </w:p>
    <w:p>
      <w:r>
        <w:rPr>
          <w:b/>
        </w:rPr>
        <w:t xml:space="preserve">Email: </w:t>
      </w:r>
      <w:r>
        <w:t>steve.kloiber@state.mn.us</w:t>
      </w:r>
    </w:p>
    <w:p/>
    <w:p>
      <w:pPr>
        <w:pStyle w:val="Heading2"/>
        <w:spacing w:before="0" w:after="80"/>
      </w:pPr>
      <w:r>
        <w:rPr>
          <w:b/>
          <w:color w:val="2C559C"/>
          <w:sz w:val="28"/>
        </w:rPr>
        <w:t>Project Basic Information</w:t>
      </w:r>
    </w:p>
    <w:p>
      <w:r>
        <w:rPr>
          <w:b/>
        </w:rPr>
        <w:t xml:space="preserve">Project Summary: </w:t>
      </w:r>
      <w:r>
        <w:t>Enhance lake conservation planning of state and local partners with a comprehensive update of Minnesota’s lake and pond GIS data as well as streamlining future maintenance.</w:t>
      </w:r>
    </w:p>
    <w:p>
      <w:r>
        <w:rPr>
          <w:b/>
        </w:rPr>
        <w:t xml:space="preserve">Funds Requested: </w:t>
      </w:r>
      <w:r>
        <w:t>$787,000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lake GIS dataset suffers from a variety of issues, including missing features, inaccurate boundaries, and classification errors. This project proposes a comprehensive update of lake and pond GIS data. This dataset is one of the Department of Natural Resources’ (DNR) most requested GIS layers. It is used to derive other lake information and is part of several key web applications, such as DNR’s LakeFinder and Watershed Health Assessment Framework. </w:t>
        <w:br/>
        <w:br/>
        <w:t>The current lake GIS data was largely derived from USGS topographic maps created in the 1970s. Although selected features have been updated, most of the mapped boundaries remain identical to the original maps and are incompatible with modern high-resolution aerial imagery and lidar data. This has significant implications for the use of these data for natural resource management. Errors affect how lakes appear in maps, reports, and web-based mapping applications. Many lake assessments, such as groundwater dependent lakes or lakes of phosphorus sensitivity, rely on the surface area of the lake as an element of the analysis. Errors in mapped area translate into errors that affect analysis results and in turn affect how lake management efforts are prioritized. These errors can lead to wasted effort or missed opportunities.</w:t>
      </w:r>
    </w:p>
    <w:p>
      <w:pPr>
        <w:spacing w:after="60"/>
      </w:pPr>
      <w:r>
        <w:rPr>
          <w:b/>
        </w:rPr>
        <w:t>What is your proposed solution to the problem or opportunity discussed above? i.e. What are you seeking funding to do? You will be asked to expand on this in Activities and Milestones.</w:t>
      </w:r>
    </w:p>
    <w:p>
      <w:r>
        <w:t>This project will create a new authoritative GIS dataset for lakes and ponds using the most current information available. We will leverage the recently updated National Wetland Inventory (NWI) for Minnesota (funded by ENRTF, completed in 2019), and the latest high-resolution aerial imagery and lidar data to create a new dataset. A semi-automated process will be developed to assemble and modify NWI polygons into an initial dataset. These features will be verified using the most recent lidar and aerial imagery data. We will transfer the DNR Basin ID numbers from the existing dataset, ensuring the new dataset complements the existing NWI and integrates with current applications. The end result will be a dataset with more accurate boundaries and improved classification of waterbody types.</w:t>
        <w:br/>
        <w:br/>
        <w:t>Creating an accurate and up-to-date inventory of lakes in Minnesota is an enormous challenge. Accordingly, we have assembled a highly qualified project team. Team members include Saint Mary’s University and DNR Resource Assessment Program (RA). The DNR has historically played, and will continue to play, a key role in providing accurate lake inventory information for Minnesota. In addition, we will engage with key stakeholders throughout the process to ensure that data meets their needs.</w:t>
      </w:r>
    </w:p>
    <w:p>
      <w:pPr>
        <w:spacing w:after="60"/>
      </w:pPr>
      <w:r>
        <w:rPr>
          <w:b/>
        </w:rPr>
        <w:t xml:space="preserve">What are the specific project outcomes as they relate to the public purpose of protection, conservation, preservation, and enhancement of the state’s natural resources? </w:t>
      </w:r>
    </w:p>
    <w:p>
      <w:r>
        <w:t>The updated lake GIS data will enhance conservation planning efforts of state and local governments, as well as non-governmental organizations. It will improve prioritization and targeting of lake management. The data will be made publicly available, used to update a variety of derived lake information, and replace older lake data in several web-based mapping applications. Furthermore, project will also provide natural resources and GIS mentorship opportunities for college students at St. Mary’s University. Additionally, this project will simplify maintenance efforts, through combining support of this new dataset with that of the NWI data.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Data design and governance</w:t>
      </w:r>
    </w:p>
    <w:p>
      <w:r>
        <w:rPr>
          <w:b/>
        </w:rPr>
        <w:t xml:space="preserve">Activity Budget: </w:t>
      </w:r>
      <w:r>
        <w:t>$108,000</w:t>
      </w:r>
    </w:p>
    <w:p>
      <w:r>
        <w:rPr>
          <w:b/>
        </w:rPr>
        <w:t xml:space="preserve">Activity Description: </w:t>
        <w:br/>
      </w:r>
      <w:r>
        <w:t>This activity will engage a cross-section of end users to provide input on the database design and business rules for the data to ensure that the product meets the needs of a wide array of users. This includes documenting problems with the existing data, expected uses of the data, and opportunities for future enhancement. The DNR will form a representative team of end users from across multiple sectors to engage in a structured discovery process to understand customer needs. Input from this process will be incorporated into a draft data design that we will pilot for a small area. The steering team will evaluate the pilot data, and the feedback will be used to finalize the design. This team will also help define ongoing governance for the data to ensure that the data continues to meet user needs.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end users and define user requirements.</w:t>
            </w:r>
          </w:p>
        </w:tc>
        <w:tc>
          <w:tcPr>
            <w:tcW w:type="dxa" w:w="2160"/>
          </w:tcPr>
          <w:p>
            <w:pPr>
              <w:jc w:val="right"/>
            </w:pPr>
            <w:r>
              <w:rPr>
                <w:sz w:val="20"/>
              </w:rPr>
              <w:t>December 31 2022</w:t>
            </w:r>
          </w:p>
        </w:tc>
      </w:tr>
      <w:tr>
        <w:tc>
          <w:tcPr>
            <w:tcW w:type="dxa" w:w="8640"/>
          </w:tcPr>
          <w:p>
            <w:r>
              <w:rPr>
                <w:sz w:val="20"/>
              </w:rPr>
              <w:t>Database design and pilot testing completed</w:t>
            </w:r>
          </w:p>
        </w:tc>
        <w:tc>
          <w:tcPr>
            <w:tcW w:type="dxa" w:w="2160"/>
          </w:tcPr>
          <w:p>
            <w:pPr>
              <w:jc w:val="right"/>
            </w:pPr>
            <w:r>
              <w:rPr>
                <w:sz w:val="20"/>
              </w:rPr>
              <w:t>April 30 2023</w:t>
            </w:r>
          </w:p>
        </w:tc>
      </w:tr>
      <w:tr>
        <w:tc>
          <w:tcPr>
            <w:tcW w:type="dxa" w:w="8640"/>
          </w:tcPr>
          <w:p>
            <w:r>
              <w:rPr>
                <w:sz w:val="20"/>
              </w:rPr>
              <w:t>Data governance and rules developed and refined</w:t>
            </w:r>
          </w:p>
        </w:tc>
        <w:tc>
          <w:tcPr>
            <w:tcW w:type="dxa" w:w="2160"/>
          </w:tcPr>
          <w:p>
            <w:pPr>
              <w:jc w:val="right"/>
            </w:pPr>
            <w:r>
              <w:rPr>
                <w:sz w:val="20"/>
              </w:rPr>
              <w:t>April 30 2023</w:t>
            </w:r>
          </w:p>
        </w:tc>
      </w:tr>
    </w:tbl>
    <w:p/>
    <w:p>
      <w:pPr>
        <w:pStyle w:val="Heading3"/>
        <w:spacing w:after="60"/>
      </w:pPr>
      <w:r>
        <w:rPr>
          <w:b/>
          <w:color w:val="254885"/>
          <w:sz w:val="26"/>
        </w:rPr>
        <w:t>Activity 2: Create statewide updated lake GIS dataset</w:t>
      </w:r>
    </w:p>
    <w:p>
      <w:r>
        <w:rPr>
          <w:b/>
        </w:rPr>
        <w:t xml:space="preserve">Activity Budget: </w:t>
      </w:r>
      <w:r>
        <w:t>$578,000</w:t>
      </w:r>
    </w:p>
    <w:p>
      <w:r>
        <w:rPr>
          <w:b/>
        </w:rPr>
        <w:t xml:space="preserve">Activity Description: </w:t>
        <w:br/>
      </w:r>
      <w:r>
        <w:t>The database design and business rules defined under Activity 1 will guide the development of a statewide updated lake GIS dataset. Saint Mary’s University will have primary responsibility for this activity, with the steering team supporting their progress throughout the project. Saint Mary’s will develop, test, and document an efficient process for creating this dataset and assigning the correct DNR basin ID numbers to corresponding polygons from the NWI layer. This will be a semi-automated process involving attribute and spatial queries to create an initial relationship, but significant human interpretation and manual editing during the draft data development phase of the project will be needed to resolve discrepancies and ensure the accurate assignment of ID numbers. The draft data will be provided to the DNR; independent reviews will be provided by RA and other stakeholders. DNR will compile the feedback on the draft data and use this to guide any modifications to be completed by Saint Mary’s before publishing the final data. As part of data finalization, Saint Mary’s will add attribute fields, which are required to support the end users’ needs defined in Activity 1 (e.g., waterbody class).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Method development, testing and documentation</w:t>
            </w:r>
          </w:p>
        </w:tc>
        <w:tc>
          <w:tcPr>
            <w:tcW w:type="dxa" w:w="2160"/>
          </w:tcPr>
          <w:p>
            <w:pPr>
              <w:jc w:val="right"/>
            </w:pPr>
            <w:r>
              <w:rPr>
                <w:sz w:val="20"/>
              </w:rPr>
              <w:t>April 30 2023</w:t>
            </w:r>
          </w:p>
        </w:tc>
      </w:tr>
      <w:tr>
        <w:tc>
          <w:tcPr>
            <w:tcW w:type="dxa" w:w="8640"/>
          </w:tcPr>
          <w:p>
            <w:r>
              <w:rPr>
                <w:sz w:val="20"/>
              </w:rPr>
              <w:t>All draft data developed and delivered for review</w:t>
            </w:r>
          </w:p>
        </w:tc>
        <w:tc>
          <w:tcPr>
            <w:tcW w:type="dxa" w:w="2160"/>
          </w:tcPr>
          <w:p>
            <w:pPr>
              <w:jc w:val="right"/>
            </w:pPr>
            <w:r>
              <w:rPr>
                <w:sz w:val="20"/>
              </w:rPr>
              <w:t>December 31 2024</w:t>
            </w:r>
          </w:p>
        </w:tc>
      </w:tr>
      <w:tr>
        <w:tc>
          <w:tcPr>
            <w:tcW w:type="dxa" w:w="8640"/>
          </w:tcPr>
          <w:p>
            <w:r>
              <w:rPr>
                <w:sz w:val="20"/>
              </w:rPr>
              <w:t>Data reviewed and quality control completed</w:t>
            </w:r>
          </w:p>
        </w:tc>
        <w:tc>
          <w:tcPr>
            <w:tcW w:type="dxa" w:w="2160"/>
          </w:tcPr>
          <w:p>
            <w:pPr>
              <w:jc w:val="right"/>
            </w:pPr>
            <w:r>
              <w:rPr>
                <w:sz w:val="20"/>
              </w:rPr>
              <w:t>April 30 2025</w:t>
            </w:r>
          </w:p>
        </w:tc>
      </w:tr>
    </w:tbl>
    <w:p/>
    <w:p>
      <w:pPr>
        <w:pStyle w:val="Heading3"/>
        <w:spacing w:after="60"/>
      </w:pPr>
      <w:r>
        <w:rPr>
          <w:b/>
          <w:color w:val="254885"/>
          <w:sz w:val="26"/>
        </w:rPr>
        <w:t>Activity 3: Data delivery and user outreach</w:t>
      </w:r>
    </w:p>
    <w:p>
      <w:r>
        <w:rPr>
          <w:b/>
        </w:rPr>
        <w:t xml:space="preserve">Activity Budget: </w:t>
      </w:r>
      <w:r>
        <w:t>$101,000</w:t>
      </w:r>
    </w:p>
    <w:p>
      <w:r>
        <w:rPr>
          <w:b/>
        </w:rPr>
        <w:t xml:space="preserve">Activity Description: </w:t>
        <w:br/>
      </w:r>
      <w:r>
        <w:t>This activity will facilitate the integration of the new lake GIS dataset into existing applications and web maps (such as the MN Geospatial Commons, DNR LakeFinder, Watershed Health Assessment Framework, and others). We will publicize and promote the dataset through conferences, webinars, and other meetings aimed at local and state watershed and lake managers as well as associated technical communities including GIS professionals.  The steering team established in Activity 1 will also be engaged to assist in the effort to promote and publicize the data within their respective organizations. This activity also includes the development of a dedicated public-facing web application for non-GIS users. Additional project outcomes include sharing information about the value of Minnesota’s lakes and ponds, and highlighting the importance of maintaining clean 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Web application for the non-GIS public completed</w:t>
            </w:r>
          </w:p>
        </w:tc>
        <w:tc>
          <w:tcPr>
            <w:tcW w:type="dxa" w:w="2160"/>
          </w:tcPr>
          <w:p>
            <w:pPr>
              <w:jc w:val="right"/>
            </w:pPr>
            <w:r>
              <w:rPr>
                <w:sz w:val="20"/>
              </w:rPr>
              <w:t>May 31 2025</w:t>
            </w:r>
          </w:p>
        </w:tc>
      </w:tr>
      <w:tr>
        <w:tc>
          <w:tcPr>
            <w:tcW w:type="dxa" w:w="8640"/>
          </w:tcPr>
          <w:p>
            <w:r>
              <w:rPr>
                <w:sz w:val="20"/>
              </w:rPr>
              <w:t>Integrate data into existing lake GIS applications</w:t>
            </w:r>
          </w:p>
        </w:tc>
        <w:tc>
          <w:tcPr>
            <w:tcW w:type="dxa" w:w="2160"/>
          </w:tcPr>
          <w:p>
            <w:pPr>
              <w:jc w:val="right"/>
            </w:pPr>
            <w:r>
              <w:rPr>
                <w:sz w:val="20"/>
              </w:rPr>
              <w:t>June 30 2025</w:t>
            </w:r>
          </w:p>
        </w:tc>
      </w:tr>
      <w:tr>
        <w:tc>
          <w:tcPr>
            <w:tcW w:type="dxa" w:w="8640"/>
          </w:tcPr>
          <w:p>
            <w:r>
              <w:rPr>
                <w:sz w:val="20"/>
              </w:rPr>
              <w:t>User outreach and promotion (conferences, map/poster distribution)</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Andy Robertson</w:t>
            </w:r>
          </w:p>
        </w:tc>
        <w:tc>
          <w:tcPr>
            <w:tcW w:type="dxa" w:w="1440"/>
          </w:tcPr>
          <w:p>
            <w:r>
              <w:rPr>
                <w:sz w:val="20"/>
              </w:rPr>
              <w:t>Saint Mary's University of Minnesota</w:t>
            </w:r>
          </w:p>
        </w:tc>
        <w:tc>
          <w:tcPr>
            <w:tcW w:type="dxa" w:w="6840"/>
          </w:tcPr>
          <w:p>
            <w:r>
              <w:rPr>
                <w:sz w:val="20"/>
              </w:rPr>
              <w:t>GeoSpatial Services at Saint Mary's University (GSS) will provide technical assistance with conducting the statewide update of the Minnesota lake GIS dataset. GSS has been involved in similar projects, such as the National Wetlands Inventory(NWI) update project for Minnesota.</w:t>
            </w:r>
          </w:p>
        </w:tc>
        <w:tc>
          <w:tcPr>
            <w:tcW w:type="dxa" w:w="1080"/>
          </w:tcPr>
          <w:p>
            <w:r>
              <w:rPr>
                <w:sz w:val="20"/>
              </w:rPr>
              <w:t>Yes</w:t>
            </w:r>
          </w:p>
        </w:tc>
      </w:tr>
      <w:tr>
        <w:tc>
          <w:tcPr>
            <w:tcW w:type="dxa" w:w="1440"/>
          </w:tcPr>
          <w:p>
            <w:r>
              <w:rPr>
                <w:sz w:val="20"/>
              </w:rPr>
              <w:t>Minnesota IT Services</w:t>
            </w:r>
          </w:p>
        </w:tc>
        <w:tc>
          <w:tcPr>
            <w:tcW w:type="dxa" w:w="1440"/>
          </w:tcPr>
          <w:p>
            <w:r>
              <w:rPr>
                <w:sz w:val="20"/>
              </w:rPr>
              <w:t>Minnesota IT Services</w:t>
            </w:r>
          </w:p>
        </w:tc>
        <w:tc>
          <w:tcPr>
            <w:tcW w:type="dxa" w:w="6840"/>
          </w:tcPr>
          <w:p>
            <w:r>
              <w:rPr>
                <w:sz w:val="20"/>
              </w:rPr>
              <w:t>Development of data editing and updating application, a public viewable web application, and technical data steward to assist with database design and technical coordination.</w:t>
            </w:r>
          </w:p>
        </w:tc>
        <w:tc>
          <w:tcPr>
            <w:tcW w:type="dxa" w:w="1080"/>
          </w:tcPr>
          <w:p>
            <w:r>
              <w:rPr>
                <w:sz w:val="20"/>
              </w:rPr>
              <w:t>Yes</w:t>
            </w:r>
          </w:p>
        </w:tc>
      </w:tr>
      <w:tr>
        <w:tc>
          <w:tcPr>
            <w:tcW w:type="dxa" w:w="1440"/>
          </w:tcPr>
          <w:p>
            <w:r>
              <w:rPr>
                <w:sz w:val="20"/>
              </w:rPr>
              <w:t>DNR Resource Assessment</w:t>
            </w:r>
          </w:p>
        </w:tc>
        <w:tc>
          <w:tcPr>
            <w:tcW w:type="dxa" w:w="1440"/>
          </w:tcPr>
          <w:p>
            <w:r>
              <w:rPr>
                <w:sz w:val="20"/>
              </w:rPr>
              <w:t>DNR Resource Assessment</w:t>
            </w:r>
          </w:p>
        </w:tc>
        <w:tc>
          <w:tcPr>
            <w:tcW w:type="dxa" w:w="6840"/>
          </w:tcPr>
          <w:p>
            <w:r>
              <w:rPr>
                <w:sz w:val="20"/>
              </w:rPr>
              <w:t>Conduct quality control and quality analyses of the data produced by Saint Mary’s University. RA will also provide additional testing, data management, or data analyses tasks as needed by DNR or the steering team. RA has provided these services in the past for several similar projects, including the NWI.</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DNR and MNIT will provide ongoing stewardship of these data to ensure that they are maintained and accessible to all users. Data maintenance and dissemination will be integrated into existing programs. DNR and MNIT will incorporate ongoing maintenance of these data with the maintenance of the NWI data funded through existing sources for data stewardship. Data will be publicly available on the MN Geospatial Commons, and used across multiple previously mentioned platforms (LakeFinder, Watershed Health Assessment Framework, etc).</w:t>
      </w:r>
    </w:p>
    <w:p>
      <w:pPr>
        <w:pStyle w:val="Heading2"/>
        <w:spacing w:before="0" w:after="80"/>
      </w:pPr>
      <w:r>
        <w:rPr>
          <w:b/>
          <w:color w:val="2C559C"/>
          <w:sz w:val="28"/>
        </w:rPr>
        <w:t>Project Manager and Organization Qualifications</w:t>
      </w:r>
    </w:p>
    <w:p>
      <w:r>
        <w:rPr>
          <w:b/>
        </w:rPr>
        <w:t xml:space="preserve">Project Manager Name: </w:t>
      </w:r>
      <w:r>
        <w:t>Steve Kloiber</w:t>
      </w:r>
    </w:p>
    <w:p>
      <w:r>
        <w:rPr>
          <w:b/>
        </w:rPr>
        <w:t xml:space="preserve">Job Title: </w:t>
      </w:r>
      <w:r>
        <w:t>Lake Ecology Unit Supervisor</w:t>
      </w:r>
    </w:p>
    <w:p>
      <w:r>
        <w:rPr>
          <w:b/>
        </w:rPr>
        <w:t xml:space="preserve">Provide description of the project manager’s qualifications to manage the proposed project. </w:t>
        <w:br/>
      </w:r>
      <w:r>
        <w:t>Steve Kloiber supervises the Lake Ecology Unit for the Minnesota DNR. Prior to this, he served as the DNR’s wetland monitoring coordinator and managed a 10-year ENRTF project for a statewide update of the National Wetland Inventory. In this position, he also oversaw the wetland status and trends monitoring program. Before joining the DNR, he was the lead environmental analyst for the Metropolitan Council of the Twin Cities from 1997 to 2008 and he served on the Nine Mile Creek Watershed District Board from 2007 to 2019. He has over 30 years of experience in water resource science and GIS. He received his master’s and PhD from the University of Minnesota in environmental engineering with a minor in water resources science.</w:t>
      </w:r>
    </w:p>
    <w:p>
      <w:r>
        <w:rPr>
          <w:b/>
        </w:rPr>
        <w:t xml:space="preserve">Organization: </w:t>
      </w:r>
      <w:r>
        <w:t>MN DNR - Ecological and Water Resources Division</w:t>
      </w:r>
    </w:p>
    <w:p>
      <w:r>
        <w:rPr>
          <w:b/>
        </w:rPr>
        <w:t xml:space="preserve">Organization Description: </w:t>
        <w:br/>
      </w:r>
      <w:r>
        <w:t>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 The Department consists of seven Divisions including Fish and Wildlife, Forestry, Lands and Minerals, Parks and Trails, Enforcement, Operations Services and Ecological and Water Resources, as well as four regions.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Coordinator</w:t>
            </w:r>
          </w:p>
        </w:tc>
        <w:tc>
          <w:tcPr>
            <w:tcW w:type="dxa" w:w="1440"/>
          </w:tcPr>
          <w:p>
            <w:r>
              <w:rPr>
                <w:sz w:val="20"/>
              </w:rPr>
            </w:r>
          </w:p>
        </w:tc>
        <w:tc>
          <w:tcPr>
            <w:tcW w:type="dxa" w:w="5472"/>
          </w:tcPr>
          <w:p>
            <w:r>
              <w:rPr>
                <w:sz w:val="20"/>
              </w:rPr>
              <w:t>Coordinate the project plan, schedule meetings, help organize and coordinate the work of partners (SMU and MNIT), coordinate with steering team to provide overall direction.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1.05</w:t>
            </w:r>
          </w:p>
        </w:tc>
        <w:tc>
          <w:tcPr>
            <w:tcW w:type="dxa" w:w="360"/>
          </w:tcPr>
          <w:p>
            <w:pPr>
              <w:jc w:val="center"/>
            </w:pPr>
            <w:r>
              <w:rPr>
                <w:sz w:val="20"/>
              </w:rPr>
              <w:t>X</w:t>
            </w:r>
          </w:p>
        </w:tc>
        <w:tc>
          <w:tcPr>
            <w:tcW w:type="dxa" w:w="1152"/>
          </w:tcPr>
          <w:p>
            <w:pPr>
              <w:jc w:val="right"/>
            </w:pPr>
            <w:r>
              <w:rPr>
                <w:sz w:val="20"/>
              </w:rPr>
              <w:t>$120,000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 Mary's University</w:t>
            </w:r>
          </w:p>
        </w:tc>
        <w:tc>
          <w:tcPr>
            <w:tcW w:type="dxa" w:w="1440"/>
          </w:tcPr>
          <w:p>
            <w:r>
              <w:rPr>
                <w:sz w:val="20"/>
              </w:rPr>
              <w:t>Sub award</w:t>
            </w:r>
          </w:p>
        </w:tc>
        <w:tc>
          <w:tcPr>
            <w:tcW w:type="dxa" w:w="5472"/>
          </w:tcPr>
          <w:p>
            <w:r>
              <w:rPr>
                <w:sz w:val="20"/>
              </w:rPr>
              <w:t>Sub-award for developing the lake GIS data update. This will include participating in the user requirements discovery process, developing and testing procedures for the update, developing draft data for review, and revising the data to create a final dataset.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$350,000</w:t>
            </w:r>
          </w:p>
        </w:tc>
      </w:tr>
      <w:tr>
        <w:tc>
          <w:tcPr>
            <w:tcW w:type="dxa" w:w="864"/>
          </w:tcPr>
          <w:p>
            <w:r>
              <w:rPr>
                <w:sz w:val="20"/>
              </w:rPr>
              <w:t>MNIT Services</w:t>
            </w:r>
          </w:p>
        </w:tc>
        <w:tc>
          <w:tcPr>
            <w:tcW w:type="dxa" w:w="1440"/>
          </w:tcPr>
          <w:p>
            <w:r>
              <w:rPr>
                <w:sz w:val="20"/>
              </w:rPr>
              <w:t>Professional or Technical Service Contract</w:t>
            </w:r>
          </w:p>
        </w:tc>
        <w:tc>
          <w:tcPr>
            <w:tcW w:type="dxa" w:w="5472"/>
          </w:tcPr>
          <w:p>
            <w:r>
              <w:rPr>
                <w:sz w:val="20"/>
              </w:rPr>
              <w:t>Develop, test, deploy data review tool similar to buffer map tool or NWI review tool. Develop a basic data explorer type web map to provide access to the data for the non-GIS user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$220,000</w:t>
            </w:r>
          </w:p>
        </w:tc>
      </w:tr>
      <w:tr>
        <w:tc>
          <w:tcPr>
            <w:tcW w:type="dxa" w:w="864"/>
          </w:tcPr>
          <w:p>
            <w:r>
              <w:rPr>
                <w:sz w:val="20"/>
              </w:rPr>
              <w:t>MN DNR Resource Assessment</w:t>
            </w:r>
          </w:p>
        </w:tc>
        <w:tc>
          <w:tcPr>
            <w:tcW w:type="dxa" w:w="1440"/>
          </w:tcPr>
          <w:p>
            <w:r>
              <w:rPr>
                <w:sz w:val="20"/>
              </w:rPr>
              <w:t>Professional or Technical Service Contract</w:t>
            </w:r>
          </w:p>
        </w:tc>
        <w:tc>
          <w:tcPr>
            <w:tcW w:type="dxa" w:w="5472"/>
          </w:tcPr>
          <w:p>
            <w:r>
              <w:rPr>
                <w:sz w:val="20"/>
              </w:rPr>
              <w:t>Conduct an independent check of the data produced by Saint Mary’s University, and provide any additional data management or analyses tasks as needed by DNR or the steering team. RA has provided these services in the past for several similar projects, such as the NWI.</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and attendance for one DNR or MNIT staff person to present at three different conferences</w:t>
            </w:r>
          </w:p>
        </w:tc>
        <w:tc>
          <w:tcPr>
            <w:tcW w:type="dxa" w:w="4032"/>
          </w:tcPr>
          <w:p>
            <w:r>
              <w:rPr>
                <w:sz w:val="20"/>
              </w:rPr>
              <w:t>Promotion of new hydrology dataset and feedback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Design, layout, and printing for 500+ statewide lake map posters</w:t>
            </w:r>
          </w:p>
        </w:tc>
        <w:tc>
          <w:tcPr>
            <w:tcW w:type="dxa" w:w="4032"/>
          </w:tcPr>
          <w:p>
            <w:r>
              <w:rPr>
                <w:sz w:val="20"/>
              </w:rPr>
              <w:t>Promotion and public awareness.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$4,326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$4,326</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DNR’s direct and necessary costs pay for activities that are directly related to and necessary for accomplishing appropriated projects. HR Support (~$1747), Safety Support (~$271), Financial Support (~$1619), Communication Support (~$1311), IT Support (~$3718), and Planning Support (~$1008).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$9,674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Project Coordinator</w:t>
            </w:r>
          </w:p>
        </w:tc>
        <w:tc>
          <w:tcPr>
            <w:tcW w:type="dxa" w:w="1800"/>
          </w:tcPr>
          <w:p>
            <w:r>
              <w:rPr>
                <w:sz w:val="20"/>
              </w:rPr>
            </w:r>
          </w:p>
        </w:tc>
        <w:tc>
          <w:tcPr>
            <w:tcW w:type="dxa" w:w="3240"/>
          </w:tcPr>
          <w:p>
            <w:r>
              <w:rPr>
                <w:sz w:val="20"/>
              </w:rPr>
              <w:t>Coordinate the project plan, schedule meetings, help organize and coordinate the work of partners (SMU and MNIT), coordinate with steering team to provide overall direction.</w:t>
            </w:r>
          </w:p>
        </w:tc>
        <w:tc>
          <w:tcPr>
            <w:tcW w:type="dxa" w:w="7560"/>
          </w:tcPr>
          <w:p>
            <w:r>
              <w:rPr>
                <w:sz w:val="20"/>
              </w:rPr>
            </w:r>
            <w:r>
              <w:rPr>
                <w:b/>
                <w:sz w:val="20"/>
              </w:rPr>
              <w:t xml:space="preserve">Classified : </w:t>
            </w:r>
            <w:r>
              <w:rPr>
                <w:sz w:val="20"/>
              </w:rPr>
              <w:t>Diverted duties will be backfilled through other available staffing options.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48d6dd82-edb.pdf</w:t>
          </w:r>
        </w:hyperlink>
      </w:r>
    </w:p>
    <w:p>
      <w:pPr>
        <w:pStyle w:val="Heading4"/>
        <w:spacing w:before="40" w:after="20"/>
      </w:pPr>
      <w:r>
        <w:rPr>
          <w:b/>
          <w:i/>
          <w:color w:val="000000"/>
          <w:sz w:val="24"/>
        </w:rPr>
        <w:t>Alternate Text for Visual Component</w:t>
      </w:r>
    </w:p>
    <w:p>
      <w:r>
        <w:t xml:space="preserve">Title: Modernizing Minnesotas Digital Lake Inventory. Inset map showing MN Lakes. "Many lake boundaries originate from old maps and are inaccurate." </w:t>
        <w:br/>
        <w:t>Illustrated by map inset showing existing Deadman Lake boundary (in blue outline) overlaying original 1970's USGS quadmap, an arrow directing to map inset of updated Deadman Lake Boundary over modern aerial imagery. "Existing data have numerous classification errors. This project seeks to correctly classify the open water and wetland fringe of l...</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GoodhueCo Letter of Support</w:t>
            </w:r>
          </w:p>
        </w:tc>
        <w:tc>
          <w:tcPr>
            <w:tcW w:type="dxa" w:w="5400"/>
          </w:tcPr>
          <w:p>
            <w:r>
              <w:rPr>
                <w:sz w:val="20"/>
              </w:rPr>
            </w:r>
            <w:r>
              <w:rPr>
                <w:color w:val="000000" w:themeColor="hyperlink"/>
                <w:sz w:val="20"/>
                <w:u w:val="single"/>
              </w:rPr>
              <w:hyperlink r:id="rId18">
                <w:r>
                  <w:rPr/>
                  <w:t>52d55df4-081.pdf</w:t>
                </w:r>
              </w:hyperlink>
            </w:r>
          </w:p>
        </w:tc>
      </w:tr>
      <w:tr>
        <w:tc>
          <w:tcPr>
            <w:tcW w:type="dxa" w:w="5400"/>
          </w:tcPr>
          <w:p>
            <w:r>
              <w:rPr>
                <w:sz w:val="20"/>
              </w:rPr>
              <w:t>UMN Letter of Support</w:t>
            </w:r>
          </w:p>
        </w:tc>
        <w:tc>
          <w:tcPr>
            <w:tcW w:type="dxa" w:w="5400"/>
          </w:tcPr>
          <w:p>
            <w:r>
              <w:rPr>
                <w:sz w:val="20"/>
              </w:rPr>
            </w:r>
            <w:r>
              <w:rPr>
                <w:color w:val="000000" w:themeColor="hyperlink"/>
                <w:sz w:val="20"/>
                <w:u w:val="single"/>
              </w:rPr>
              <w:hyperlink r:id="rId19">
                <w:r>
                  <w:rPr/>
                  <w:t>c7ba7e57-3e1.pdf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8d6dd82-edb.pdf" TargetMode="External"/><Relationship Id="rId18" Type="http://schemas.openxmlformats.org/officeDocument/2006/relationships/hyperlink" Target="https://lccmrprojectmgmt.leg.mn/media/attachments/52d55df4-081.pdf" TargetMode="External"/><Relationship Id="rId19" Type="http://schemas.openxmlformats.org/officeDocument/2006/relationships/hyperlink" Target="https://lccmrprojectmgmt.leg.mn/media/attachments/c7ba7e57-3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Modernizing Minnesota’s Digital Lake Inventory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