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2022-062</w:t>
      </w:r>
    </w:p>
    <w:p>
      <w:r>
        <w:rPr>
          <w:b/>
        </w:rPr>
        <w:t xml:space="preserve">Proposal Title: </w:t>
      </w:r>
      <w:r>
        <w:t>Root River Habitat Restoration Project</w:t>
      </w:r>
    </w:p>
    <w:p/>
    <w:p>
      <w:pPr>
        <w:pStyle w:val="Heading2"/>
        <w:spacing w:before="0" w:after="80"/>
      </w:pPr>
      <w:r>
        <w:rPr>
          <w:b/>
          <w:color w:val="2C559C"/>
          <w:sz w:val="28"/>
        </w:rPr>
        <w:t>Project Manager Information</w:t>
      </w:r>
    </w:p>
    <w:p>
      <w:r>
        <w:rPr>
          <w:b/>
        </w:rPr>
        <w:t xml:space="preserve">Name: </w:t>
      </w:r>
      <w:r>
        <w:t>Colleen Foehrenbacher</w:t>
      </w:r>
    </w:p>
    <w:p>
      <w:r>
        <w:rPr>
          <w:b/>
        </w:rPr>
        <w:t xml:space="preserve">Organization: </w:t>
      </w:r>
      <w:r>
        <w:t>Eagle Bluff Environmental Learning Center</w:t>
      </w:r>
    </w:p>
    <w:p>
      <w:r>
        <w:rPr>
          <w:b/>
        </w:rPr>
        <w:t xml:space="preserve">Office Telephone: </w:t>
      </w:r>
      <w:r>
        <w:t>(507) 467-2714</w:t>
      </w:r>
    </w:p>
    <w:p>
      <w:r>
        <w:rPr>
          <w:b/>
        </w:rPr>
        <w:t xml:space="preserve">Email: </w:t>
      </w:r>
      <w:r>
        <w:t>colleenf@eaglebluffmn.org</w:t>
      </w:r>
    </w:p>
    <w:p/>
    <w:p>
      <w:pPr>
        <w:pStyle w:val="Heading2"/>
        <w:spacing w:before="0" w:after="80"/>
      </w:pPr>
      <w:r>
        <w:rPr>
          <w:b/>
          <w:color w:val="2C559C"/>
          <w:sz w:val="28"/>
        </w:rPr>
        <w:t>Project Basic Information</w:t>
      </w:r>
    </w:p>
    <w:p>
      <w:r>
        <w:rPr>
          <w:b/>
        </w:rPr>
        <w:t xml:space="preserve">Project Summary: </w:t>
      </w:r>
      <w:r>
        <w:t>The Root River Restoration project is 3,300 linear feet of stream bank and instream habitat restoration located within Eagle Bluff and state owned land north of Lanesboro, Minnesota.</w:t>
      </w:r>
    </w:p>
    <w:p>
      <w:r>
        <w:rPr>
          <w:b/>
        </w:rPr>
        <w:t xml:space="preserve">Funds Requested: </w:t>
      </w:r>
      <w:r>
        <w:t>$790,000</w:t>
      </w:r>
    </w:p>
    <w:p>
      <w:r>
        <w:rPr>
          <w:b/>
        </w:rPr>
        <w:t xml:space="preserve">Proposed Project Completion: </w:t>
      </w:r>
      <w:r>
        <w:t>July 31 2024</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SE</w:t>
      </w:r>
    </w:p>
    <w:p>
      <w:r>
        <w:rPr>
          <w:b/>
        </w:rPr>
        <w:t xml:space="preserve">What is the best scale to describe the area impacted by your work?  </w:t>
        <w:br/>
        <w:tab/>
      </w:r>
      <w:r>
        <w:t xml:space="preserve">Region(s): </w:t>
      </w:r>
      <w:r>
        <w:t>SE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Flood events since 2011 have drastically changed the course of the Root River within the project area. Flood damage and accumulation of sediment has disconnected the current river channel and floodplains, directing river flows against the riverbanks creating highly erosive conditions and loss of fish habitat. Eagle Bluff has established this project in cooperation with Fillmore County as one of high need to address the loss of stream banks, unsafe sloughing slopes, and loss of native habitat. These intense flood events have caused loss of river channel, riparian/instream habitat, and stream banks. As a result of aggradation due to current riverbank erosion and unstable channel dimensions, instream fish habitat has drastically declined. Prior to flood events this area was populated with Brown Trout, Channel and Flathead Catfish, Walleye, Sauger, Rock Bass, Shovelnose Sturgeon, Longnose Gar, and white and smallmouth bass. One notable species present that occurs infrequently in the Root River is the Lake Sturgeon. After the flood events those populations have decreased. The MPCA also found macroinvertebrates to be impaired as well. This project would address both the sediment load entering the river, a priority of the Root River One Watershed One Plan, and macroinvertebrate and fish impairments.</w:t>
      </w:r>
    </w:p>
    <w:p>
      <w:pPr>
        <w:spacing w:after="60"/>
      </w:pPr>
      <w:r>
        <w:rPr>
          <w:b/>
        </w:rPr>
        <w:t>What is your proposed solution to the problem or opportunity discussed above? i.e. What are you seeking funding to do? You will be asked to expand on this in Activities and Milestones.</w:t>
      </w:r>
    </w:p>
    <w:p>
      <w:r>
        <w:t>The proposed project exhibits steep slopes with highly erodible soils, sloughing soils, and uprooted and fallen trees. The riverine habitat within this area is degraded but includes geomorphic features such as riffles, runs, and pool habitat that will support diverse aquatic species if restored. Preliminary conceptual plans have been completed to address current conditions of the project in cooperation with the MNDNR area fisheries office which include installation of rock boulder toe, toe-wood, rootwads, boulder clusters, riffles and floodplain restoration to enhance aquatic species habitat including brown trout, smallmouth bass, northern pike and sensitive species. The riparian areas of the river will be restored with native riparian and upland buffers using both live plantings and native seeding that will filter sediments and nutrients from surface water runoff. This area has also been called, “the most diverse, remote, and fascinating piece of property left in the Root River Watershed'' by former regional DNR fisheries manager, Steve Klotz. Biological monitoring will be conducted as part of the Eagle Bluff educational curriculum in cooperation with the local MNDNR staff from the Lanesboro Fisheries office to determine how the habitat improvements affect changes in fish and aquatic species populations.</w:t>
      </w:r>
    </w:p>
    <w:p>
      <w:pPr>
        <w:spacing w:after="60"/>
      </w:pPr>
      <w:r>
        <w:rPr>
          <w:b/>
        </w:rPr>
        <w:t xml:space="preserve">What are the specific project outcomes as they relate to the public purpose of protection, conservation, preservation, and enhancement of the state’s natural resources? </w:t>
      </w:r>
    </w:p>
    <w:p>
      <w:r>
        <w:t>Restoration of this section of the Root River will provide the following long term benefits: increased fish populations resulting from instream fish habitat structures such as root wads, boulder toe, and toe-wood benches; improved water quality by reducing soil erosion and sediment pollution; and enhanced vegetated riparian buffer to filter sediment, nutrients, and debris from runoff and habitat for wildlife species. The proposed project will provide restored habitat open to the public for recreation and fishing. Our project will also create opportunities to develop lesson plans about ecological restoration, water quality/habitat monitoring, aquatic species monitoring, and environmental-related careers.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Final Design, Engineering, Permitting and Construction Oversight</w:t>
      </w:r>
    </w:p>
    <w:p>
      <w:r>
        <w:rPr>
          <w:b/>
        </w:rPr>
        <w:t xml:space="preserve">Activity Budget: </w:t>
      </w:r>
      <w:r>
        <w:t>$140,000</w:t>
      </w:r>
    </w:p>
    <w:p>
      <w:r>
        <w:rPr>
          <w:b/>
        </w:rPr>
        <w:t xml:space="preserve">Activity Description: </w:t>
        <w:br/>
      </w:r>
      <w:r>
        <w:t>This activity includes engineering, design, permitting, supervision of construction, permit compliance inspection, pre-construction, and post construction survey.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Pre-construction Stream Survey</w:t>
            </w:r>
          </w:p>
        </w:tc>
        <w:tc>
          <w:tcPr>
            <w:tcW w:type="dxa" w:w="2160"/>
          </w:tcPr>
          <w:p>
            <w:pPr>
              <w:jc w:val="right"/>
            </w:pPr>
            <w:r>
              <w:rPr>
                <w:sz w:val="20"/>
              </w:rPr>
              <w:t>July 31 2022</w:t>
            </w:r>
          </w:p>
        </w:tc>
      </w:tr>
      <w:tr>
        <w:tc>
          <w:tcPr>
            <w:tcW w:type="dxa" w:w="8640"/>
          </w:tcPr>
          <w:p>
            <w:r>
              <w:rPr>
                <w:sz w:val="20"/>
              </w:rPr>
              <w:t>Engineering/Construction Plans and Bid Specifications</w:t>
            </w:r>
          </w:p>
        </w:tc>
        <w:tc>
          <w:tcPr>
            <w:tcW w:type="dxa" w:w="2160"/>
          </w:tcPr>
          <w:p>
            <w:pPr>
              <w:jc w:val="right"/>
            </w:pPr>
            <w:r>
              <w:rPr>
                <w:sz w:val="20"/>
              </w:rPr>
              <w:t>March 31 2023</w:t>
            </w:r>
          </w:p>
        </w:tc>
      </w:tr>
      <w:tr>
        <w:tc>
          <w:tcPr>
            <w:tcW w:type="dxa" w:w="8640"/>
          </w:tcPr>
          <w:p>
            <w:r>
              <w:rPr>
                <w:sz w:val="20"/>
              </w:rPr>
              <w:t>Permit Requirements: MPCA, MNDNR, USACE, Local LGU</w:t>
            </w:r>
          </w:p>
        </w:tc>
        <w:tc>
          <w:tcPr>
            <w:tcW w:type="dxa" w:w="2160"/>
          </w:tcPr>
          <w:p>
            <w:pPr>
              <w:jc w:val="right"/>
            </w:pPr>
            <w:r>
              <w:rPr>
                <w:sz w:val="20"/>
              </w:rPr>
              <w:t>July 31 2023</w:t>
            </w:r>
          </w:p>
        </w:tc>
      </w:tr>
      <w:tr>
        <w:tc>
          <w:tcPr>
            <w:tcW w:type="dxa" w:w="8640"/>
          </w:tcPr>
          <w:p>
            <w:r>
              <w:rPr>
                <w:sz w:val="20"/>
              </w:rPr>
              <w:t>Construction Oversight: Supervision, Permit Compliance</w:t>
            </w:r>
          </w:p>
        </w:tc>
        <w:tc>
          <w:tcPr>
            <w:tcW w:type="dxa" w:w="2160"/>
          </w:tcPr>
          <w:p>
            <w:pPr>
              <w:jc w:val="right"/>
            </w:pPr>
            <w:r>
              <w:rPr>
                <w:sz w:val="20"/>
              </w:rPr>
              <w:t>May 31 2024</w:t>
            </w:r>
          </w:p>
        </w:tc>
      </w:tr>
      <w:tr>
        <w:tc>
          <w:tcPr>
            <w:tcW w:type="dxa" w:w="8640"/>
          </w:tcPr>
          <w:p>
            <w:r>
              <w:rPr>
                <w:sz w:val="20"/>
              </w:rPr>
              <w:t>Post Construction Stream Survey and Summary</w:t>
            </w:r>
          </w:p>
        </w:tc>
        <w:tc>
          <w:tcPr>
            <w:tcW w:type="dxa" w:w="2160"/>
          </w:tcPr>
          <w:p>
            <w:pPr>
              <w:jc w:val="right"/>
            </w:pPr>
            <w:r>
              <w:rPr>
                <w:sz w:val="20"/>
              </w:rPr>
              <w:t>July 31 2024</w:t>
            </w:r>
          </w:p>
        </w:tc>
      </w:tr>
    </w:tbl>
    <w:p/>
    <w:p>
      <w:pPr>
        <w:pStyle w:val="Heading3"/>
        <w:spacing w:after="60"/>
      </w:pPr>
      <w:r>
        <w:rPr>
          <w:b/>
          <w:color w:val="254885"/>
          <w:sz w:val="26"/>
        </w:rPr>
        <w:t>Activity 2: Project Construction, Monitoring, and Maintenance</w:t>
      </w:r>
    </w:p>
    <w:p>
      <w:r>
        <w:rPr>
          <w:b/>
        </w:rPr>
        <w:t xml:space="preserve">Activity Budget: </w:t>
      </w:r>
      <w:r>
        <w:t>$650,000</w:t>
      </w:r>
    </w:p>
    <w:p>
      <w:r>
        <w:rPr>
          <w:b/>
        </w:rPr>
        <w:t xml:space="preserve">Activity Description: </w:t>
        <w:br/>
      </w:r>
      <w:r>
        <w:t>This activity includes materials and construction of the project in addition to post construction monitoring.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Construction of restoration features, seeding and native buffers</w:t>
            </w:r>
          </w:p>
        </w:tc>
        <w:tc>
          <w:tcPr>
            <w:tcW w:type="dxa" w:w="2160"/>
          </w:tcPr>
          <w:p>
            <w:pPr>
              <w:jc w:val="right"/>
            </w:pPr>
            <w:r>
              <w:rPr>
                <w:sz w:val="20"/>
              </w:rPr>
              <w:t>June 30 2024</w:t>
            </w:r>
          </w:p>
        </w:tc>
      </w:tr>
      <w:tr>
        <w:tc>
          <w:tcPr>
            <w:tcW w:type="dxa" w:w="8640"/>
          </w:tcPr>
          <w:p>
            <w:r>
              <w:rPr>
                <w:sz w:val="20"/>
              </w:rPr>
              <w:t>Construction materials, native seed and erosion control</w:t>
            </w:r>
          </w:p>
        </w:tc>
        <w:tc>
          <w:tcPr>
            <w:tcW w:type="dxa" w:w="2160"/>
          </w:tcPr>
          <w:p>
            <w:pPr>
              <w:jc w:val="right"/>
            </w:pPr>
            <w:r>
              <w:rPr>
                <w:sz w:val="20"/>
              </w:rPr>
              <w:t>June 30 2024</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Our project design includes habitat and stream bank restoration techniques designed for long-term hydraulic stability and ecological improvements. Once the project is completed and vegetation established, minimal maintenance will be required to sustain the designed habitat outcomes. Long-term monitoring of the integrity of the improvements will be done in conjunction with maintenance inspections and biological monitoring conducted in cooperation with local MNDNR staff as part of our educational program. The timeline for the overall project is approximately 2 years. Additional work is needed for future phases of restoration projects. We anticipate funding requests will be required for those project phases.</w:t>
      </w:r>
    </w:p>
    <w:p>
      <w:pPr>
        <w:pStyle w:val="Heading2"/>
        <w:spacing w:before="0" w:after="80"/>
      </w:pPr>
      <w:r>
        <w:rPr>
          <w:b/>
          <w:color w:val="2C559C"/>
          <w:sz w:val="28"/>
        </w:rPr>
        <w:t>Project Manager and Organization Qualifications</w:t>
      </w:r>
    </w:p>
    <w:p>
      <w:r>
        <w:rPr>
          <w:b/>
        </w:rPr>
        <w:t xml:space="preserve">Project Manager Name: </w:t>
      </w:r>
      <w:r>
        <w:t>Colleen Foehrenbacher</w:t>
      </w:r>
    </w:p>
    <w:p>
      <w:r>
        <w:rPr>
          <w:b/>
        </w:rPr>
        <w:t xml:space="preserve">Job Title: </w:t>
      </w:r>
      <w:r>
        <w:t>Executive Director</w:t>
      </w:r>
    </w:p>
    <w:p>
      <w:r>
        <w:rPr>
          <w:b/>
        </w:rPr>
        <w:t xml:space="preserve">Provide description of the project manager’s qualifications to manage the proposed project. </w:t>
        <w:br/>
      </w:r>
      <w:r>
        <w:t>Colleen Foehrenbacher has served as Executive Director for Eagle Bluff Environmental Learning Center since April of 2020. Before this, she served as Eagle Bluff’s Deputy and Education Director for 3 years. While at Eagle Bluff Colleen has managed over $700,000 in grant projects including $40,000 ENRTF funds from 2017-2019 as a sub-grantee for the environmental education project titled, “Expanding Raptor Center Online Education.”</w:t>
      </w:r>
    </w:p>
    <w:p>
      <w:r>
        <w:rPr>
          <w:b/>
        </w:rPr>
        <w:t xml:space="preserve">Organization: </w:t>
      </w:r>
      <w:r>
        <w:t>Eagle Bluff Environmental Learning Center</w:t>
      </w:r>
    </w:p>
    <w:p>
      <w:r>
        <w:rPr>
          <w:b/>
        </w:rPr>
        <w:t xml:space="preserve">Organization Description: </w:t>
        <w:br/>
      </w:r>
      <w:r>
        <w:t xml:space="preserve">Eagle Bluff is one of six residential environmental learning centers (RELCs) in Minnesota, and the only RELC in southeastern Minnesota. We are an accredited special purpose school that functions as both a day-use nature center as well as a residential center. Unlike a traditional summer camp, we offer programs year-round and our classes are taught by highly trained and certified full-time staff, with curriculum based on Minnesota State Academic Standard and National Science Standards. </w:t>
        <w:br/>
        <w:br/>
        <w:t>Eagle Bluff began as a grassroots project in 1978, serving 800 individuals annually through full- and half day classes based on forest management curriculum. 40 years later, Eagle Bluff now serves over 18,000 participants annually. Our center consists of a visitor center, 248-bed dormitory, dining hall, and classroom building.</w:t>
        <w:br/>
        <w:br/>
        <w:t>Our mission is dedicated to empowering people to care for the earth and each other. We are committed to offering experiential environmental education to students of all ages, and believe that together we can make a lasting difference by connecting individuals to nature through education. Through experiential classes in an outdoor setting, all Eagle Bluff students receive an interdisciplinary, well-balanced perspective founded on the principles of responsible action and stewardship.</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 Engineering Firm</w:t>
            </w:r>
          </w:p>
        </w:tc>
        <w:tc>
          <w:tcPr>
            <w:tcW w:type="dxa" w:w="1440"/>
          </w:tcPr>
          <w:p>
            <w:r>
              <w:rPr>
                <w:sz w:val="20"/>
              </w:rPr>
              <w:t>Professional or Technical Service Contract</w:t>
            </w:r>
          </w:p>
        </w:tc>
        <w:tc>
          <w:tcPr>
            <w:tcW w:type="dxa" w:w="5472"/>
          </w:tcPr>
          <w:p>
            <w:r>
              <w:rPr>
                <w:sz w:val="20"/>
              </w:rPr>
              <w:t>Creation of Engineering/Construction Plans and Bid Specifications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$140,000</w:t>
            </w:r>
          </w:p>
        </w:tc>
      </w:tr>
      <w:tr>
        <w:tc>
          <w:tcPr>
            <w:tcW w:type="dxa" w:w="864"/>
          </w:tcPr>
          <w:p>
            <w:r>
              <w:rPr>
                <w:sz w:val="20"/>
              </w:rPr>
              <w:t>TBD Construction Contractor</w:t>
            </w:r>
          </w:p>
        </w:tc>
        <w:tc>
          <w:tcPr>
            <w:tcW w:type="dxa" w:w="1440"/>
          </w:tcPr>
          <w:p>
            <w:r>
              <w:rPr>
                <w:sz w:val="20"/>
              </w:rPr>
              <w:t>Professional or Technical Service Contract</w:t>
            </w:r>
          </w:p>
        </w:tc>
        <w:tc>
          <w:tcPr>
            <w:tcW w:type="dxa" w:w="5472"/>
          </w:tcPr>
          <w:p>
            <w:r>
              <w:rPr>
                <w:sz w:val="20"/>
              </w:rPr>
              <w:t>Construction of restoration features, seeding, and native buffers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$300,000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$440,000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Construction Materials</w:t>
            </w:r>
          </w:p>
        </w:tc>
        <w:tc>
          <w:tcPr>
            <w:tcW w:type="dxa" w:w="4032"/>
          </w:tcPr>
          <w:p>
            <w:r>
              <w:rPr>
                <w:sz w:val="20"/>
              </w:rPr>
              <w:t>Construction materials for restoration features, seeding, and native buffers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$350,000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$790,000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Eagle Bluff Environmental Learning Center</w:t>
            </w:r>
          </w:p>
        </w:tc>
        <w:tc>
          <w:tcPr>
            <w:tcW w:type="dxa" w:w="6120"/>
          </w:tcPr>
          <w:p>
            <w:r>
              <w:rPr>
                <w:sz w:val="20"/>
              </w:rPr>
              <w:t>Grant Administration</w:t>
            </w:r>
          </w:p>
        </w:tc>
        <w:tc>
          <w:tcPr>
            <w:tcW w:type="dxa" w:w="1080"/>
          </w:tcPr>
          <w:p>
            <w:r>
              <w:rPr>
                <w:sz w:val="20"/>
              </w:rPr>
              <w:t>Secured</w:t>
            </w:r>
          </w:p>
        </w:tc>
        <w:tc>
          <w:tcPr>
            <w:tcW w:type="dxa" w:w="1440"/>
          </w:tcPr>
          <w:p>
            <w:pPr>
              <w:jc w:val="right"/>
            </w:pPr>
            <w:r>
              <w:rPr>
                <w:sz w:val="20"/>
              </w:rPr>
              <w:t>$10,000</w:t>
            </w:r>
          </w:p>
        </w:tc>
      </w:tr>
      <w:tr>
        <w:tc>
          <w:tcPr>
            <w:tcW w:type="dxa" w:w="1080"/>
          </w:tcPr>
          <w:p>
            <w:r>
              <w:rPr>
                <w:sz w:val="20"/>
              </w:rPr>
              <w:t>In-Kind</w:t>
            </w:r>
          </w:p>
        </w:tc>
        <w:tc>
          <w:tcPr>
            <w:tcW w:type="dxa" w:w="4680"/>
          </w:tcPr>
          <w:p>
            <w:r>
              <w:rPr>
                <w:sz w:val="20"/>
              </w:rPr>
              <w:t>Eagle Bluff Environmental Learning Center</w:t>
            </w:r>
          </w:p>
        </w:tc>
        <w:tc>
          <w:tcPr>
            <w:tcW w:type="dxa" w:w="6120"/>
          </w:tcPr>
          <w:p>
            <w:r>
              <w:rPr>
                <w:sz w:val="20"/>
              </w:rPr>
              <w:t>5 years of maintenance and monitoring work</w:t>
            </w:r>
          </w:p>
        </w:tc>
        <w:tc>
          <w:tcPr>
            <w:tcW w:type="dxa" w:w="1080"/>
          </w:tcPr>
          <w:p>
            <w:r>
              <w:rPr>
                <w:sz w:val="20"/>
              </w:rPr>
              <w:t>Secured</w:t>
            </w:r>
          </w:p>
        </w:tc>
        <w:tc>
          <w:tcPr>
            <w:tcW w:type="dxa" w:w="1440"/>
          </w:tcPr>
          <w:p>
            <w:pPr>
              <w:jc w:val="right"/>
            </w:pPr>
            <w:r>
              <w:rPr>
                <w:sz w:val="20"/>
              </w:rPr>
              <w:t>$50,000</w:t>
            </w:r>
          </w:p>
        </w:tc>
      </w:tr>
      <w:tr>
        <w:tc>
          <w:tcPr>
            <w:tcW w:type="dxa" w:w="1080"/>
          </w:tcPr>
          <w:p>
            <w:r>
              <w:rPr>
                <w:sz w:val="20"/>
              </w:rPr>
              <w:t>In-Kind</w:t>
            </w:r>
          </w:p>
        </w:tc>
        <w:tc>
          <w:tcPr>
            <w:tcW w:type="dxa" w:w="4680"/>
          </w:tcPr>
          <w:p>
            <w:r>
              <w:rPr>
                <w:sz w:val="20"/>
              </w:rPr>
              <w:t>Eagle Bluff Environmental Learning Center</w:t>
            </w:r>
          </w:p>
        </w:tc>
        <w:tc>
          <w:tcPr>
            <w:tcW w:type="dxa" w:w="6120"/>
          </w:tcPr>
          <w:p>
            <w:r>
              <w:rPr>
                <w:sz w:val="20"/>
              </w:rPr>
              <w:t>1 year of curriculum development work to add in monitoring and create curriculum around this project and ongoing education programs.</w:t>
            </w:r>
          </w:p>
        </w:tc>
        <w:tc>
          <w:tcPr>
            <w:tcW w:type="dxa" w:w="1080"/>
          </w:tcPr>
          <w:p>
            <w:r>
              <w:rPr>
                <w:sz w:val="20"/>
              </w:rPr>
              <w:t>Secured</w:t>
            </w:r>
          </w:p>
        </w:tc>
        <w:tc>
          <w:tcPr>
            <w:tcW w:type="dxa" w:w="1440"/>
          </w:tcPr>
          <w:p>
            <w:pPr>
              <w:jc w:val="right"/>
            </w:pPr>
            <w:r>
              <w:rPr>
                <w:sz w:val="20"/>
              </w:rPr>
              <w:t>$30,000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$90,000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$90,000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"The Point" Property</w:t>
            </w:r>
          </w:p>
        </w:tc>
        <w:tc>
          <w:tcPr>
            <w:tcW w:type="dxa" w:w="1440"/>
          </w:tcPr>
          <w:p>
            <w:r>
              <w:rPr>
                <w:sz w:val="20"/>
              </w:rPr>
              <w:t>Fillmore</w:t>
            </w:r>
          </w:p>
        </w:tc>
        <w:tc>
          <w:tcPr>
            <w:tcW w:type="dxa" w:w="3888"/>
          </w:tcPr>
          <w:p>
            <w:r>
              <w:rPr>
                <w:sz w:val="20"/>
              </w:rPr>
              <w:t>Contains restored prairies, forests, oak savannas. The area has been classified as an area of "outstanding biodiversity."</w:t>
            </w:r>
          </w:p>
        </w:tc>
        <w:tc>
          <w:tcPr>
            <w:tcW w:type="dxa" w:w="1080"/>
          </w:tcPr>
          <w:p>
            <w:r>
              <w:rPr>
                <w:sz w:val="20"/>
              </w:rPr>
              <w:t>Restoration</w:t>
            </w:r>
          </w:p>
        </w:tc>
        <w:tc>
          <w:tcPr>
            <w:tcW w:type="dxa" w:w="432"/>
          </w:tcPr>
          <w:p>
            <w:pPr>
              <w:jc w:val="right"/>
            </w:pPr>
            <w:r>
              <w:rPr>
                <w:sz w:val="20"/>
              </w:rPr>
              <w:t>131</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MN Land Trust</w:t>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131</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Yes. All restoration activities completed with these funds will occur on land permanently protected by a conservation easement or public ownership.</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The habitat improvements are designed for long-term stability and no significance maintenance will be required to sustain project outcomes. A long-term monitoring and maintenance plan will be implemented by Eagle Bluff to assure all constructed habitat restoration measures are functioning as designed for the project. Maintenance includes inspecting the integrity of the habitat features, riverbank stabilization and vegetation management, in conjunction with routine inspections and biological monitoring conducted by MNDNR staff, volunteers, and Eagle Bluff students and staff.</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This project will use native seed and plant material sourced from the local region to ensure that the plants are viable and adapt to the conditions of the site. Seed selection will include a high diversity of species that provides functions of pollinator habitat, foraging habitat for wildlife and fish species,  floodplain management, and soil stability.</w:t>
      </w:r>
    </w:p>
    <w:p>
      <w:r>
        <w:rPr>
          <w:b/>
        </w:rPr>
        <w:t xml:space="preserve">4. Describe how the long-term maintenance and management needs of the parcel being restored with these funds will be met and financed into the future. </w:t>
        <w:br/>
      </w:r>
      <w:r>
        <w:t>Eagle Bluff Environmental Learning Center will be responsible for the long-term maintenance and management needs of the parcel. We already have personnel and funding to do so.</w:t>
      </w:r>
    </w:p>
    <w:p>
      <w:r>
        <w:rPr>
          <w:b/>
        </w:rPr>
        <w:t xml:space="preserve">5. Describe how consideration will be given to contracting with Conservation Corps of Minnesota for any restoration activities. </w:t>
        <w:br/>
      </w:r>
      <w:r>
        <w:t>Eagle Bluff will consider contracting with the Conservation Corps Minnesota to aid in live plantings in addition to invasive species removal.</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Eagle Bluff Environmental Learning Center will complete evaluations after construction is completed, monitoring will be completed throughout the growing season annually as part of our ongoing educational program, and a summary of our monitoring data will be completed three years after the initial habitat installation.</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8f078e2c-ff1.pdf</w:t>
          </w:r>
        </w:hyperlink>
      </w:r>
    </w:p>
    <w:p>
      <w:pPr>
        <w:pStyle w:val="Heading4"/>
        <w:spacing w:before="40" w:after="20"/>
      </w:pPr>
      <w:r>
        <w:rPr>
          <w:b/>
          <w:i/>
          <w:color w:val="000000"/>
          <w:sz w:val="24"/>
        </w:rPr>
        <w:t>Alternate Text for Map</w:t>
      </w:r>
    </w:p>
    <w:p>
      <w:r>
        <w:t>Map 1: Shows the two restoration sites on the North Branch of the Root River.</w:t>
        <w:br/>
        <w:t xml:space="preserve">Map 2: Habitat Restoration Concept plan for site 1 which includes toe-wood benches, boulder toe protections, and lowering of point bar. </w:t>
        <w:br/>
        <w:t>Map 3: Habitat Restoration Concept plan for site 2 which includes riffle enhancement, boulder toe protection, and toe-wood benches....</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f1d62cf5-0df.pdf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Eagle Bluff Board Resolution</w:t>
            </w:r>
          </w:p>
        </w:tc>
        <w:tc>
          <w:tcPr>
            <w:tcW w:type="dxa" w:w="5400"/>
          </w:tcPr>
          <w:p>
            <w:r>
              <w:rPr>
                <w:sz w:val="20"/>
              </w:rPr>
            </w:r>
            <w:r>
              <w:rPr>
                <w:color w:val="000000" w:themeColor="hyperlink"/>
                <w:sz w:val="20"/>
                <w:u w:val="single"/>
              </w:rPr>
              <w:hyperlink r:id="rId19">
                <w:r>
                  <w:rPr/>
                  <w:t>ed7aba74-225.pdf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Eagle Bluff Site 2 photo</w:t>
            </w:r>
          </w:p>
        </w:tc>
        <w:tc>
          <w:tcPr>
            <w:tcW w:type="dxa" w:w="5400"/>
          </w:tcPr>
          <w:p>
            <w:r>
              <w:rPr>
                <w:sz w:val="20"/>
              </w:rPr>
            </w:r>
            <w:r>
              <w:rPr>
                <w:color w:val="000000" w:themeColor="hyperlink"/>
                <w:sz w:val="20"/>
                <w:u w:val="single"/>
              </w:rPr>
              <w:hyperlink r:id="rId20">
                <w:r>
                  <w:rPr/>
                  <w:t>6a9761b7-77e.pdf</w:t>
                </w:r>
              </w:hyperlink>
            </w:r>
          </w:p>
        </w:tc>
      </w:tr>
      <w:tr>
        <w:tc>
          <w:tcPr>
            <w:tcW w:type="dxa" w:w="5400"/>
          </w:tcPr>
          <w:p>
            <w:r>
              <w:rPr>
                <w:sz w:val="20"/>
              </w:rPr>
              <w:t>Eagle Bluff Site 1 photo</w:t>
            </w:r>
          </w:p>
        </w:tc>
        <w:tc>
          <w:tcPr>
            <w:tcW w:type="dxa" w:w="5400"/>
          </w:tcPr>
          <w:p>
            <w:r>
              <w:rPr>
                <w:sz w:val="20"/>
              </w:rPr>
            </w:r>
            <w:r>
              <w:rPr>
                <w:color w:val="000000" w:themeColor="hyperlink"/>
                <w:sz w:val="20"/>
                <w:u w:val="single"/>
              </w:rPr>
              <w:hyperlink r:id="rId21">
                <w:r>
                  <w:rPr/>
                  <w:t>4ab83587-eb3.pdf</w:t>
                </w:r>
              </w:hyperlink>
            </w:r>
          </w:p>
        </w:tc>
      </w:tr>
      <w:tr>
        <w:tc>
          <w:tcPr>
            <w:tcW w:type="dxa" w:w="5400"/>
          </w:tcPr>
          <w:p>
            <w:r>
              <w:rPr>
                <w:sz w:val="20"/>
              </w:rPr>
              <w:t>Molitor (EB Neighbors) Letter of Support</w:t>
            </w:r>
          </w:p>
        </w:tc>
        <w:tc>
          <w:tcPr>
            <w:tcW w:type="dxa" w:w="5400"/>
          </w:tcPr>
          <w:p>
            <w:r>
              <w:rPr>
                <w:sz w:val="20"/>
              </w:rPr>
            </w:r>
            <w:r>
              <w:rPr>
                <w:color w:val="000000" w:themeColor="hyperlink"/>
                <w:sz w:val="20"/>
                <w:u w:val="single"/>
              </w:rPr>
              <w:hyperlink r:id="rId22">
                <w:r>
                  <w:rPr/>
                  <w:t>6a0e4e8f-f73.pdf</w:t>
                </w:r>
              </w:hyperlink>
            </w:r>
          </w:p>
        </w:tc>
      </w:tr>
      <w:tr>
        <w:tc>
          <w:tcPr>
            <w:tcW w:type="dxa" w:w="5400"/>
          </w:tcPr>
          <w:p>
            <w:r>
              <w:rPr>
                <w:sz w:val="20"/>
              </w:rPr>
              <w:t>Pheasants Forever Letter of Support</w:t>
            </w:r>
          </w:p>
        </w:tc>
        <w:tc>
          <w:tcPr>
            <w:tcW w:type="dxa" w:w="5400"/>
          </w:tcPr>
          <w:p>
            <w:r>
              <w:rPr>
                <w:sz w:val="20"/>
              </w:rPr>
            </w:r>
            <w:r>
              <w:rPr>
                <w:color w:val="000000" w:themeColor="hyperlink"/>
                <w:sz w:val="20"/>
                <w:u w:val="single"/>
              </w:rPr>
              <w:hyperlink r:id="rId23">
                <w:r>
                  <w:rPr/>
                  <w:t>77003db9-9ea.pdf</w:t>
                </w:r>
              </w:hyperlink>
            </w:r>
          </w:p>
        </w:tc>
      </w:tr>
      <w:tr>
        <w:tc>
          <w:tcPr>
            <w:tcW w:type="dxa" w:w="5400"/>
          </w:tcPr>
          <w:p>
            <w:r>
              <w:rPr>
                <w:sz w:val="20"/>
              </w:rPr>
              <w:t>Friends of the Root River Letter of Support</w:t>
            </w:r>
          </w:p>
        </w:tc>
        <w:tc>
          <w:tcPr>
            <w:tcW w:type="dxa" w:w="5400"/>
          </w:tcPr>
          <w:p>
            <w:r>
              <w:rPr>
                <w:sz w:val="20"/>
              </w:rPr>
            </w:r>
            <w:r>
              <w:rPr>
                <w:color w:val="000000" w:themeColor="hyperlink"/>
                <w:sz w:val="20"/>
                <w:u w:val="single"/>
              </w:rPr>
              <w:hyperlink r:id="rId24">
                <w:r>
                  <w:rPr/>
                  <w:t>4967b5c0-bfb.pdf</w:t>
                </w:r>
              </w:hyperlink>
            </w:r>
          </w:p>
        </w:tc>
      </w:tr>
      <w:tr>
        <w:tc>
          <w:tcPr>
            <w:tcW w:type="dxa" w:w="5400"/>
          </w:tcPr>
          <w:p>
            <w:r>
              <w:rPr>
                <w:sz w:val="20"/>
              </w:rPr>
              <w:t>MN Land Trust Letter of Support</w:t>
            </w:r>
          </w:p>
        </w:tc>
        <w:tc>
          <w:tcPr>
            <w:tcW w:type="dxa" w:w="5400"/>
          </w:tcPr>
          <w:p>
            <w:r>
              <w:rPr>
                <w:sz w:val="20"/>
              </w:rPr>
            </w:r>
            <w:r>
              <w:rPr>
                <w:color w:val="000000" w:themeColor="hyperlink"/>
                <w:sz w:val="20"/>
                <w:u w:val="single"/>
              </w:rPr>
              <w:hyperlink r:id="rId25">
                <w:r>
                  <w:rPr/>
                  <w:t>59c3c5e7-3fd.pdf</w:t>
                </w:r>
              </w:hyperlink>
            </w:r>
          </w:p>
        </w:tc>
      </w:tr>
      <w:tr>
        <w:tc>
          <w:tcPr>
            <w:tcW w:type="dxa" w:w="5400"/>
          </w:tcPr>
          <w:p>
            <w:r>
              <w:rPr>
                <w:sz w:val="20"/>
              </w:rPr>
              <w:t>Greg Davids Letter of Support</w:t>
            </w:r>
          </w:p>
        </w:tc>
        <w:tc>
          <w:tcPr>
            <w:tcW w:type="dxa" w:w="5400"/>
          </w:tcPr>
          <w:p>
            <w:r>
              <w:rPr>
                <w:sz w:val="20"/>
              </w:rPr>
            </w:r>
            <w:r>
              <w:rPr>
                <w:color w:val="000000" w:themeColor="hyperlink"/>
                <w:sz w:val="20"/>
                <w:u w:val="single"/>
              </w:rPr>
              <w:hyperlink r:id="rId26">
                <w:r>
                  <w:rPr/>
                  <w:t>1ef535d4-3a6.pdf</w:t>
                </w:r>
              </w:hyperlink>
            </w:r>
          </w:p>
        </w:tc>
      </w:tr>
      <w:tr>
        <w:tc>
          <w:tcPr>
            <w:tcW w:type="dxa" w:w="5400"/>
          </w:tcPr>
          <w:p>
            <w:r>
              <w:rPr>
                <w:sz w:val="20"/>
              </w:rPr>
              <w:t>Fillmore County SWCD Letter of Support</w:t>
            </w:r>
          </w:p>
        </w:tc>
        <w:tc>
          <w:tcPr>
            <w:tcW w:type="dxa" w:w="5400"/>
          </w:tcPr>
          <w:p>
            <w:r>
              <w:rPr>
                <w:sz w:val="20"/>
              </w:rPr>
            </w:r>
            <w:r>
              <w:rPr>
                <w:color w:val="000000" w:themeColor="hyperlink"/>
                <w:sz w:val="20"/>
                <w:u w:val="single"/>
              </w:rPr>
              <w:hyperlink r:id="rId27">
                <w:r>
                  <w:rPr/>
                  <w:t>903d3a24-59e.pdf</w:t>
                </w:r>
              </w:hyperlink>
            </w:r>
          </w:p>
        </w:tc>
      </w:tr>
      <w:tr>
        <w:tc>
          <w:tcPr>
            <w:tcW w:type="dxa" w:w="5400"/>
          </w:tcPr>
          <w:p>
            <w:r>
              <w:rPr>
                <w:sz w:val="20"/>
              </w:rPr>
              <w:t>Fillmore County Letter of Support</w:t>
            </w:r>
          </w:p>
        </w:tc>
        <w:tc>
          <w:tcPr>
            <w:tcW w:type="dxa" w:w="5400"/>
          </w:tcPr>
          <w:p>
            <w:r>
              <w:rPr>
                <w:sz w:val="20"/>
              </w:rPr>
            </w:r>
            <w:r>
              <w:rPr>
                <w:color w:val="000000" w:themeColor="hyperlink"/>
                <w:sz w:val="20"/>
                <w:u w:val="single"/>
              </w:rPr>
              <w:hyperlink r:id="rId28">
                <w:r>
                  <w:rPr/>
                  <w:t>439fad92-3bb.pdf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8f078e2c-ff1.pdf" TargetMode="External"/><Relationship Id="rId18" Type="http://schemas.openxmlformats.org/officeDocument/2006/relationships/hyperlink" Target="https://lccmrprojectmgmt.leg.mn/media/financial_capacity/f1d62cf5-0df.pdf" TargetMode="External"/><Relationship Id="rId19" Type="http://schemas.openxmlformats.org/officeDocument/2006/relationships/hyperlink" Target="https://lccmrprojectmgmt.leg.mn/media/attachments/ed7aba74-225.pdf" TargetMode="External"/><Relationship Id="rId20" Type="http://schemas.openxmlformats.org/officeDocument/2006/relationships/hyperlink" Target="https://lccmrprojectmgmt.leg.mn/media/attachments/6a9761b7-77e.pdf" TargetMode="External"/><Relationship Id="rId21" Type="http://schemas.openxmlformats.org/officeDocument/2006/relationships/hyperlink" Target="https://lccmrprojectmgmt.leg.mn/media/attachments/4ab83587-eb3.pdf" TargetMode="External"/><Relationship Id="rId22" Type="http://schemas.openxmlformats.org/officeDocument/2006/relationships/hyperlink" Target="https://lccmrprojectmgmt.leg.mn/media/attachments/6a0e4e8f-f73.pdf" TargetMode="External"/><Relationship Id="rId23" Type="http://schemas.openxmlformats.org/officeDocument/2006/relationships/hyperlink" Target="https://lccmrprojectmgmt.leg.mn/media/attachments/77003db9-9ea.pdf" TargetMode="External"/><Relationship Id="rId24" Type="http://schemas.openxmlformats.org/officeDocument/2006/relationships/hyperlink" Target="https://lccmrprojectmgmt.leg.mn/media/attachments/4967b5c0-bfb.pdf" TargetMode="External"/><Relationship Id="rId25" Type="http://schemas.openxmlformats.org/officeDocument/2006/relationships/hyperlink" Target="https://lccmrprojectmgmt.leg.mn/media/attachments/59c3c5e7-3fd.pdf" TargetMode="External"/><Relationship Id="rId26" Type="http://schemas.openxmlformats.org/officeDocument/2006/relationships/hyperlink" Target="https://lccmrprojectmgmt.leg.mn/media/attachments/1ef535d4-3a6.pdf" TargetMode="External"/><Relationship Id="rId27" Type="http://schemas.openxmlformats.org/officeDocument/2006/relationships/hyperlink" Target="https://lccmrprojectmgmt.leg.mn/media/attachments/903d3a24-59e.pdf" TargetMode="External"/><Relationship Id="rId28" Type="http://schemas.openxmlformats.org/officeDocument/2006/relationships/hyperlink" Target="https://lccmrprojectmgmt.leg.mn/media/attachments/439fad92-3b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Root River Habitat Restoration Project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