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2022-055</w:t>
      </w:r>
    </w:p>
    <w:p>
      <w:r>
        <w:rPr>
          <w:b/>
        </w:rPr>
        <w:t xml:space="preserve">Proposal Title: </w:t>
      </w:r>
      <w:r>
        <w:t>Chemical and molecular recycling of environmental plastics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 novel pyrolysis-reforming technology to convert waste plastics to high quality naphtha for new plastic production and recover the non-condensable pyrolytic gas for carbon nanotubes (CNTs) and hydrogen production.</w:t>
      </w:r>
    </w:p>
    <w:p>
      <w:r>
        <w:rPr>
          <w:b/>
        </w:rPr>
        <w:t xml:space="preserve">Funds Requested: </w:t>
      </w:r>
      <w:r>
        <w:t>$910,000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Plastic materials are extremely popular all over the world and used in all areas of our lives thanks to their unique properties of being strong, lightweight, and easily shaped. However, the vast majority of waste plastics ever produced enters into landfills or our ecosystems, creating a plastic waste crisis. Currently, the most common solution to recycle the plastic waste is thermomechanical processing that is constrained by many challenges. The recycled plastics after melting and remolding have poorer properties than those of the virgin plastics, limiting the recycled plastics to lower quality products. This downcycling process makes the waste plastic recovery financially unattractive in the industry. On the other hand, the plastic-to-fuels technology can alleviate the plastic solid waste pollution, but it is unable to offset the demand for virgin plastics, making no contribution to a circular economy and greenhouse gas reduction. The main aspect missing from the current techniques is the lack of a feasible and promising approach to recycle/upcycle waste plastics in a more sustainable and long-term manner from both ecological and economical standpoints.</w:t>
      </w:r>
    </w:p>
    <w:p>
      <w:pPr>
        <w:spacing w:after="60"/>
      </w:pPr>
      <w:r>
        <w:rPr>
          <w:b/>
        </w:rPr>
        <w:t>What is your proposed solution to the problem or opportunity discussed above? i.e. What are you seeking funding to do? You will be asked to expand on this in Activities and Milestones.</w:t>
      </w:r>
    </w:p>
    <w:p>
      <w:r>
        <w:t>The proposed pyrolysis-reforming technology is designed to convert waste plastics to high quality high value naphtha that is injected to new plastic manufacturing, creating a circular economy with minimal greenhouse emission. The byproduct, non-condensable gas, produced from the pyrolysis-reforming process will be recovered for production of CNTs as emerging nano-materials and hydrogen as fuel or chemical feedstock via chemical vapor deposition technique. In a nutshell, the proposed technology uses microwave assisted pyrolysis (MAP) process to convert waste plastics to wax, and then catalytically reform the wax to high quality naphtha over newly designed catalysts while converting the non-condensable gases to high quality CNTs and hydrogen.</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will include the improvement of the existing 200 kg plastics/day MAP system, designing promising catalysts for higher quality naphtha and CNTs, and the development of a structured catalytic reactor for systems analysis and demonstration. These outcomes will move the technology closer to commercial implementation, which will provide a sustainable way to utilize waste plastics, improve the financial outlook of the plastic waste recycling industry, reduce fossil energy demand and CO2 emission, and thus reduce environmental impacts of the plastic waste recycling industry.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Conversion and reforming process development and improvement</w:t>
      </w:r>
    </w:p>
    <w:p>
      <w:r>
        <w:rPr>
          <w:b/>
        </w:rPr>
        <w:t xml:space="preserve">Activity Budget: </w:t>
      </w:r>
      <w:r>
        <w:t>$268,974</w:t>
      </w:r>
    </w:p>
    <w:p>
      <w:r>
        <w:rPr>
          <w:b/>
        </w:rPr>
        <w:t xml:space="preserve">Activity Description: </w:t>
        <w:br/>
      </w:r>
      <w:r>
        <w:t>Our approach is to convert waste plastics to long chain hydrocarbons (LCHC), and crack and reform LCHC to naphtha. We will first use a bench scale pyrolysis-reforming system with the same technical characteristics as our existing 200 kg plastics/day MAP system to achieve fast screening of catalysts and optimize the process. The improvement of initial conversion process will be realized through pyrolysis system improvement and processing parameter optimization such as feedstock loading, temperature, agitation mixing speed, heating rate, and residence time. The cracking and reforming processes will heavily rely on the improvement of our proposed catalytic process. Different catalysts will be developed to improve cracking performance in the first catalytic reforming zone and the hydrogenation process in the second catalytic reforming zone. The focus will be on how to tailor the acidity and pore structure of metals/SiO2 catalysts in the first catalytic zone to maximize the wax cracking with the minimal aromatic formation. Then, we will use SiC foam structure as a catalyst bed on which selected catalysts are loaded, and raise and maintain catalysis reaction temperatures using microwaves. A novel structured catalytic reactor for cracking and reforming will be developed and incorporated with the main conversion reactor.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MAP process optimization</w:t>
            </w:r>
          </w:p>
        </w:tc>
        <w:tc>
          <w:tcPr>
            <w:tcW w:type="dxa" w:w="2160"/>
          </w:tcPr>
          <w:p>
            <w:pPr>
              <w:jc w:val="right"/>
            </w:pPr>
            <w:r>
              <w:rPr>
                <w:sz w:val="20"/>
              </w:rPr>
              <w:t>December 31 2022</w:t>
            </w:r>
          </w:p>
        </w:tc>
      </w:tr>
      <w:tr>
        <w:tc>
          <w:tcPr>
            <w:tcW w:type="dxa" w:w="8640"/>
          </w:tcPr>
          <w:p>
            <w:r>
              <w:rPr>
                <w:sz w:val="20"/>
              </w:rPr>
              <w:t>Catalysts will be prepared, characterized, and tested</w:t>
            </w:r>
          </w:p>
        </w:tc>
        <w:tc>
          <w:tcPr>
            <w:tcW w:type="dxa" w:w="2160"/>
          </w:tcPr>
          <w:p>
            <w:pPr>
              <w:jc w:val="right"/>
            </w:pPr>
            <w:r>
              <w:rPr>
                <w:sz w:val="20"/>
              </w:rPr>
              <w:t>June 30 2023</w:t>
            </w:r>
          </w:p>
        </w:tc>
      </w:tr>
      <w:tr>
        <w:tc>
          <w:tcPr>
            <w:tcW w:type="dxa" w:w="8640"/>
          </w:tcPr>
          <w:p>
            <w:r>
              <w:rPr>
                <w:sz w:val="20"/>
              </w:rPr>
              <w:t>Structured catalysts will be developed</w:t>
            </w:r>
          </w:p>
        </w:tc>
        <w:tc>
          <w:tcPr>
            <w:tcW w:type="dxa" w:w="2160"/>
          </w:tcPr>
          <w:p>
            <w:pPr>
              <w:jc w:val="right"/>
            </w:pPr>
            <w:r>
              <w:rPr>
                <w:sz w:val="20"/>
              </w:rPr>
              <w:t>January 31 2024</w:t>
            </w:r>
          </w:p>
        </w:tc>
      </w:tr>
      <w:tr>
        <w:tc>
          <w:tcPr>
            <w:tcW w:type="dxa" w:w="8640"/>
          </w:tcPr>
          <w:p>
            <w:r>
              <w:rPr>
                <w:sz w:val="20"/>
              </w:rPr>
              <w:t>A novel structured catalytic reactor will be developed and tested</w:t>
            </w:r>
          </w:p>
        </w:tc>
        <w:tc>
          <w:tcPr>
            <w:tcW w:type="dxa" w:w="2160"/>
          </w:tcPr>
          <w:p>
            <w:pPr>
              <w:jc w:val="right"/>
            </w:pPr>
            <w:r>
              <w:rPr>
                <w:sz w:val="20"/>
              </w:rPr>
              <w:t>June 30 2024</w:t>
            </w:r>
          </w:p>
        </w:tc>
      </w:tr>
    </w:tbl>
    <w:p/>
    <w:p>
      <w:pPr>
        <w:pStyle w:val="Heading3"/>
        <w:spacing w:after="60"/>
      </w:pPr>
      <w:r>
        <w:rPr>
          <w:b/>
          <w:color w:val="254885"/>
          <w:sz w:val="26"/>
        </w:rPr>
        <w:t>Activity 2: Recover non-condensable pyrolytic gas for CNTs and hydrogen production</w:t>
      </w:r>
    </w:p>
    <w:p>
      <w:r>
        <w:rPr>
          <w:b/>
        </w:rPr>
        <w:t xml:space="preserve">Activity Budget: </w:t>
      </w:r>
      <w:r>
        <w:t>$200,000</w:t>
      </w:r>
    </w:p>
    <w:p>
      <w:r>
        <w:rPr>
          <w:b/>
        </w:rPr>
        <w:t xml:space="preserve">Activity Description: </w:t>
        <w:br/>
      </w:r>
      <w:r>
        <w:t>The non-condensable pyrolysis gases containing abundant carbon sources (CH4 and C1-C4 hydrocarbons) will be introduced into a high temperature chemical vapor deposition process for CNTs production. After element carbon is consumed, the residual gas would be mainly composed of hydrogen. A wide variety of metal oxides, such as Ni, Co, Fe, Cu, will be tested for producing high performance CNTs and hydrogen.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Non-condensable gas-to-CNTs and hydrogen technology will be developed and improved</w:t>
            </w:r>
          </w:p>
        </w:tc>
        <w:tc>
          <w:tcPr>
            <w:tcW w:type="dxa" w:w="2160"/>
          </w:tcPr>
          <w:p>
            <w:pPr>
              <w:jc w:val="right"/>
            </w:pPr>
            <w:r>
              <w:rPr>
                <w:sz w:val="20"/>
              </w:rPr>
              <w:t>January 31 2024</w:t>
            </w:r>
          </w:p>
        </w:tc>
      </w:tr>
      <w:tr>
        <w:tc>
          <w:tcPr>
            <w:tcW w:type="dxa" w:w="8640"/>
          </w:tcPr>
          <w:p>
            <w:r>
              <w:rPr>
                <w:sz w:val="20"/>
              </w:rPr>
              <w:t>A wide variety of catalysts will be evaluated</w:t>
            </w:r>
          </w:p>
        </w:tc>
        <w:tc>
          <w:tcPr>
            <w:tcW w:type="dxa" w:w="2160"/>
          </w:tcPr>
          <w:p>
            <w:pPr>
              <w:jc w:val="right"/>
            </w:pPr>
            <w:r>
              <w:rPr>
                <w:sz w:val="20"/>
              </w:rPr>
              <w:t>June 30 2024</w:t>
            </w:r>
          </w:p>
        </w:tc>
      </w:tr>
    </w:tbl>
    <w:p/>
    <w:p>
      <w:pPr>
        <w:pStyle w:val="Heading3"/>
        <w:spacing w:after="60"/>
      </w:pPr>
      <w:r>
        <w:rPr>
          <w:b/>
          <w:color w:val="254885"/>
          <w:sz w:val="26"/>
        </w:rPr>
        <w:t>Activity 3: Catalytic microwave-assisted pyrolysis (CMAP) improvement</w:t>
      </w:r>
    </w:p>
    <w:p>
      <w:r>
        <w:rPr>
          <w:b/>
        </w:rPr>
        <w:t xml:space="preserve">Activity Budget: </w:t>
      </w:r>
      <w:r>
        <w:t>$400,000</w:t>
      </w:r>
    </w:p>
    <w:p>
      <w:r>
        <w:rPr>
          <w:b/>
        </w:rPr>
        <w:t xml:space="preserve">Activity Description: </w:t>
        <w:br/>
      </w:r>
      <w:r>
        <w:t>Based on our experience with the existing 200 kg/day system, we will improve the design of several key components and incorporate a novel structured catalytic reactor and non-condensable gas recovery for demonstration. Specifically, the mixing states of silicon carbide (SiC) balls (as a microwave absorbent and heat carrier) inside the microwave reactor will be further improved by innovative mechanical mixer design so that the temperature field can be much more uniform without very high mixing rate, enabling the heat transfer between plastic particles and SiC balls more efficient and residence time to be more effectively controlled.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existing 200 kg/day CMAP system will be improved and tested</w:t>
            </w:r>
          </w:p>
        </w:tc>
        <w:tc>
          <w:tcPr>
            <w:tcW w:type="dxa" w:w="2160"/>
          </w:tcPr>
          <w:p>
            <w:pPr>
              <w:jc w:val="right"/>
            </w:pPr>
            <w:r>
              <w:rPr>
                <w:sz w:val="20"/>
              </w:rPr>
              <w:t>June 30 2024</w:t>
            </w:r>
          </w:p>
        </w:tc>
      </w:tr>
      <w:tr>
        <w:tc>
          <w:tcPr>
            <w:tcW w:type="dxa" w:w="8640"/>
          </w:tcPr>
          <w:p>
            <w:r>
              <w:rPr>
                <w:sz w:val="20"/>
              </w:rPr>
              <w:t>Structured catalytic reactors will be designed, incorporated and tested</w:t>
            </w:r>
          </w:p>
        </w:tc>
        <w:tc>
          <w:tcPr>
            <w:tcW w:type="dxa" w:w="2160"/>
          </w:tcPr>
          <w:p>
            <w:pPr>
              <w:jc w:val="right"/>
            </w:pPr>
            <w:r>
              <w:rPr>
                <w:sz w:val="20"/>
              </w:rPr>
              <w:t>December 31 2024</w:t>
            </w:r>
          </w:p>
        </w:tc>
      </w:tr>
    </w:tbl>
    <w:p/>
    <w:p>
      <w:pPr>
        <w:pStyle w:val="Heading3"/>
        <w:spacing w:after="60"/>
      </w:pPr>
      <w:r>
        <w:rPr>
          <w:b/>
          <w:color w:val="254885"/>
          <w:sz w:val="26"/>
        </w:rPr>
        <w:t>Activity 4: Evaluate environmental impacts and economic performance</w:t>
      </w:r>
    </w:p>
    <w:p>
      <w:r>
        <w:rPr>
          <w:b/>
        </w:rPr>
        <w:t xml:space="preserve">Activity Budget: </w:t>
      </w:r>
      <w:r>
        <w:t>$41,026</w:t>
      </w:r>
    </w:p>
    <w:p>
      <w:r>
        <w:rPr>
          <w:b/>
        </w:rPr>
        <w:t xml:space="preserve">Activity Description: </w:t>
        <w:br/>
      </w:r>
      <w:r>
        <w:t>The mass and energy balance data together with emission data will be used to evaluate the environmental and economic performance using mathematics models. This evaluation will provide good assessment of the environmental impact of the proposed technology. Further R&amp;D efforts and commercialization strategy will be recommended.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energy efficiency, cost, and emission will be evaluated</w:t>
            </w:r>
          </w:p>
        </w:tc>
        <w:tc>
          <w:tcPr>
            <w:tcW w:type="dxa" w:w="2160"/>
          </w:tcPr>
          <w:p>
            <w:pPr>
              <w:jc w:val="right"/>
            </w:pPr>
            <w:r>
              <w:rPr>
                <w:sz w:val="20"/>
              </w:rPr>
              <w:t>December 31 2024</w:t>
            </w:r>
          </w:p>
        </w:tc>
      </w:tr>
      <w:tr>
        <w:tc>
          <w:tcPr>
            <w:tcW w:type="dxa" w:w="8640"/>
          </w:tcPr>
          <w:p>
            <w:r>
              <w:rPr>
                <w:sz w:val="20"/>
              </w:rPr>
              <w:t>Environmental impacts  will be assessed</w:t>
            </w:r>
          </w:p>
        </w:tc>
        <w:tc>
          <w:tcPr>
            <w:tcW w:type="dxa" w:w="2160"/>
          </w:tcPr>
          <w:p>
            <w:pPr>
              <w:jc w:val="right"/>
            </w:pPr>
            <w:r>
              <w:rPr>
                <w:sz w:val="20"/>
              </w:rPr>
              <w:t>June 30 2025</w:t>
            </w:r>
          </w:p>
        </w:tc>
      </w:tr>
      <w:tr>
        <w:tc>
          <w:tcPr>
            <w:tcW w:type="dxa" w:w="8640"/>
          </w:tcPr>
          <w:p>
            <w:r>
              <w:rPr>
                <w:sz w:val="20"/>
              </w:rPr>
              <w:t>Further R&amp;D and commercialization strategy will be recommended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waste plastics-to-naphtha technology is very promising, and many major companies are extremely interested in it. We are closely collaborated with several of them and they have provided some financial and other support for our preliminary work. More new scientific knowledge on plastic-to-naphtha, CNTs, and hydrogen technology acquired through research and the demonstration will help raise significant interests from the public. More grants would be obtained from industry partners and private, state, and federal government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helps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- 2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$30,285</w:t>
            </w:r>
          </w:p>
        </w:tc>
      </w:tr>
      <w:tr>
        <w:tc>
          <w:tcPr>
            <w:tcW w:type="dxa" w:w="864"/>
          </w:tcPr>
          <w:p>
            <w:r>
              <w:rPr>
                <w:sz w:val="20"/>
              </w:rPr>
              <w:t>Professor/faculty</w:t>
            </w:r>
          </w:p>
        </w:tc>
        <w:tc>
          <w:tcPr>
            <w:tcW w:type="dxa" w:w="1440"/>
          </w:tcPr>
          <w:p>
            <w:r>
              <w:rPr>
                <w:sz w:val="20"/>
              </w:rPr>
            </w:r>
          </w:p>
        </w:tc>
        <w:tc>
          <w:tcPr>
            <w:tcW w:type="dxa" w:w="5472"/>
          </w:tcPr>
          <w:p>
            <w:r>
              <w:rPr>
                <w:sz w:val="20"/>
              </w:rPr>
              <w:t>Co-PI - contract faculty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$66,920</w:t>
            </w:r>
          </w:p>
        </w:tc>
      </w:tr>
      <w:tr>
        <w:tc>
          <w:tcPr>
            <w:tcW w:type="dxa" w:w="864"/>
          </w:tcPr>
          <w:p>
            <w:r>
              <w:rPr>
                <w:sz w:val="20"/>
              </w:rPr>
              <w:t>Graduate Research Assistant</w:t>
            </w:r>
          </w:p>
        </w:tc>
        <w:tc>
          <w:tcPr>
            <w:tcW w:type="dxa" w:w="1440"/>
          </w:tcPr>
          <w:p>
            <w:r>
              <w:rPr>
                <w:sz w:val="20"/>
              </w:rPr>
            </w:r>
          </w:p>
        </w:tc>
        <w:tc>
          <w:tcPr>
            <w:tcW w:type="dxa" w:w="5472"/>
          </w:tcPr>
          <w:p>
            <w:r>
              <w:rPr>
                <w:sz w:val="20"/>
              </w:rPr>
              <w:t>Two researchers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$301,902</w:t>
            </w:r>
          </w:p>
        </w:tc>
      </w:tr>
      <w:tr>
        <w:tc>
          <w:tcPr>
            <w:tcW w:type="dxa" w:w="864"/>
          </w:tcPr>
          <w:p>
            <w:r>
              <w:rPr>
                <w:sz w:val="20"/>
              </w:rPr>
              <w:t>Post Doc Researcher</w:t>
            </w:r>
          </w:p>
        </w:tc>
        <w:tc>
          <w:tcPr>
            <w:tcW w:type="dxa" w:w="1440"/>
          </w:tcPr>
          <w:p>
            <w:r>
              <w:rPr>
                <w:sz w:val="20"/>
              </w:rPr>
            </w:r>
          </w:p>
        </w:tc>
        <w:tc>
          <w:tcPr>
            <w:tcW w:type="dxa" w:w="5472"/>
          </w:tcPr>
          <w:p>
            <w:r>
              <w:rPr>
                <w:sz w:val="20"/>
              </w:rPr>
              <w:t>Conduct research</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$191,887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$590,994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adjustments, repairs, and maintenance on newly fabricated equipment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feedstock, catalysts, chemicals, consumable supplies for analytical instruments</w:t>
            </w:r>
          </w:p>
        </w:tc>
        <w:tc>
          <w:tcPr>
            <w:tcW w:type="dxa" w:w="4032"/>
          </w:tcPr>
          <w:p>
            <w:r>
              <w:rPr>
                <w:sz w:val="20"/>
              </w:rPr>
              <w:t>For running experiments and operating conversion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$45,570</w:t>
            </w:r>
          </w:p>
        </w:tc>
      </w:tr>
      <w:tr>
        <w:tc>
          <w:tcPr>
            <w:tcW w:type="dxa" w:w="864"/>
          </w:tcPr>
          <w:p>
            <w:r>
              <w:rPr>
                <w:sz w:val="20"/>
              </w:rPr>
            </w:r>
          </w:p>
        </w:tc>
        <w:tc>
          <w:tcPr>
            <w:tcW w:type="dxa" w:w="1440"/>
          </w:tcPr>
          <w:p>
            <w:r>
              <w:rPr>
                <w:sz w:val="20"/>
              </w:rPr>
              <w:t>Equipment</w:t>
            </w:r>
          </w:p>
        </w:tc>
        <w:tc>
          <w:tcPr>
            <w:tcW w:type="dxa" w:w="5472"/>
          </w:tcPr>
          <w:p>
            <w:r>
              <w:rPr>
                <w:sz w:val="20"/>
              </w:rPr>
              <w:t>Components for fabrication of a small pilot system including reactor vessel, insulation materials, magnetrons, control, motors, mixer, feeder, valves, etc.</w:t>
            </w:r>
          </w:p>
        </w:tc>
        <w:tc>
          <w:tcPr>
            <w:tcW w:type="dxa" w:w="4032"/>
          </w:tcPr>
          <w:p>
            <w:r>
              <w:rPr>
                <w:sz w:val="20"/>
              </w:rPr>
              <w:t>To fabricate a small pilot system for extensive testing, cost and emission analysis, and demonsration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$295,570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($0.56/mile), meals @$49/person</w:t>
            </w:r>
          </w:p>
        </w:tc>
        <w:tc>
          <w:tcPr>
            <w:tcW w:type="dxa" w:w="4032"/>
          </w:tcPr>
          <w:p>
            <w:r>
              <w:rPr>
                <w:sz w:val="20"/>
              </w:rPr>
              <w:t>Visits to waste management sites, feedstock collection and transport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7">
                <w:r>
                  <w:rPr/>
                  <w:t>c24d7036-d1b.pdf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64c336a6-740.pdf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c24d7036-d1b.pdf" TargetMode="External"/><Relationship Id="rId18" Type="http://schemas.openxmlformats.org/officeDocument/2006/relationships/hyperlink" Target="https://lccmrprojectmgmt.leg.mn/media/attachments/64c336a6-7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Chemical and molecular recycling of environmental plastics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