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2022-054</w:t>
      </w:r>
    </w:p>
    <w:p>
      <w:r>
        <w:rPr>
          <w:b/>
        </w:rPr>
        <w:t xml:space="preserve">Proposal Title: </w:t>
      </w:r>
      <w:r>
        <w:t>Nitrogen fixation and nitrate concentration for land crops</w:t>
      </w:r>
    </w:p>
    <w:p/>
    <w:p>
      <w:pPr>
        <w:pStyle w:val="Heading2"/>
        <w:spacing w:before="0" w:after="80"/>
      </w:pPr>
      <w:r>
        <w:rPr>
          <w:b/>
          <w:color w:val="2C559C"/>
          <w:sz w:val="28"/>
        </w:rPr>
        <w:t>Project Manager Information</w:t>
      </w:r>
    </w:p>
    <w:p>
      <w:r>
        <w:rPr>
          <w:b/>
        </w:rPr>
        <w:t xml:space="preserve">Name: </w:t>
      </w:r>
      <w:r>
        <w:t>Roger Ruan</w:t>
      </w:r>
    </w:p>
    <w:p>
      <w:r>
        <w:rPr>
          <w:b/>
        </w:rPr>
        <w:t xml:space="preserve">Organization: </w:t>
      </w:r>
      <w:r>
        <w:t>U of MN - College of Food, Agricultural and Natural Resource Sciences</w:t>
      </w:r>
    </w:p>
    <w:p>
      <w:r>
        <w:rPr>
          <w:b/>
        </w:rPr>
        <w:t xml:space="preserve">Office Telephone: </w:t>
      </w:r>
      <w:r>
        <w:t>(612) 804-2270</w:t>
      </w:r>
    </w:p>
    <w:p>
      <w:r>
        <w:rPr>
          <w:b/>
        </w:rPr>
        <w:t xml:space="preserve">Email: </w:t>
      </w:r>
      <w:r>
        <w:t>RUANX001@UMN.EDU</w:t>
      </w:r>
    </w:p>
    <w:p/>
    <w:p>
      <w:pPr>
        <w:pStyle w:val="Heading2"/>
        <w:spacing w:before="0" w:after="80"/>
      </w:pPr>
      <w:r>
        <w:rPr>
          <w:b/>
          <w:color w:val="2C559C"/>
          <w:sz w:val="28"/>
        </w:rPr>
        <w:t>Project Basic Information</w:t>
      </w:r>
    </w:p>
    <w:p>
      <w:r>
        <w:rPr>
          <w:b/>
        </w:rPr>
        <w:t xml:space="preserve">Project Summary: </w:t>
      </w:r>
      <w:r>
        <w:t>Develop a novel technology to produce high-concentration nitrogen fertilizers from water and air using catalytic non-thermal plasma coupled with a nitrate concentration system</w:t>
      </w:r>
    </w:p>
    <w:p>
      <w:r>
        <w:rPr>
          <w:b/>
        </w:rPr>
        <w:t xml:space="preserve">Funds Requested: </w:t>
      </w:r>
      <w:r>
        <w:t>$802,000</w:t>
      </w:r>
    </w:p>
    <w:p>
      <w:r>
        <w:rPr>
          <w:b/>
        </w:rPr>
        <w:t xml:space="preserve">Proposed Project Completion: </w:t>
      </w:r>
      <w:r>
        <w:t>June 30 2025</w:t>
      </w:r>
    </w:p>
    <w:p>
      <w:r>
        <w:rPr>
          <w:b/>
        </w:rPr>
        <w:t xml:space="preserve">LCCMR Funding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US farming and other industries use a large amount of nitrogen fertilizers such as anhydrous ammonia and ammonia nitrate. The state of Minnesota alone imports $400 million to $800 million retail value per year of nitrogen fertilizer from other states and countries. Current industrial technology for nitrogen fertilizer production is non-renewable, expensive, dangerous, and environmentally unfriendly. Although the Haber-Bosch process is responsible for providing over 130 million tons of ammonia annually to support approximately 40% of the world’s population, it is also responsible for about 2% of the global energy consumption. The reaction conditions of the Haber Bosch process lie in the range of 200 to 400 atm and 400 to 600 °C, respectively. These intense temperature and pressure conditions are the main disadvantages of the Haber-Bosch process, as they prevent the possibility of lowering capital costs. Additionally, the high pressure required for the traditional Haber-Bosch Process is also a limiting factor in reducing the economies of scale of localized production facilities due to the high energy (and cost) requirements of compression.  Therefore, it is highly sought to develop a green technology to produce high-concentration nitrate fertilizer.</w:t>
      </w:r>
    </w:p>
    <w:p>
      <w:pPr>
        <w:spacing w:after="60"/>
      </w:pPr>
      <w:r>
        <w:rPr>
          <w:b/>
        </w:rPr>
        <w:t>What is your proposed solution to the problem or opportunity discussed above? i.e. What are you seeking funding to do? You will be asked to expand on this in Activities and Milestones.</w:t>
      </w:r>
    </w:p>
    <w:p>
      <w:r>
        <w:t>This project is intended to demonstrate a new process to fix nitrogen from water and air only to produce nitrogen-rich water using renewable electricity, e.g., from wind or solar energy, potentially eliminating the need for fossil resources and avoiding pollutant emissions all together. The nitrogen-rich water (mainly nitrate and ammonia) can be used as fertilizer directly on cropland or hydroponics systems to reduce nitrogen runoff and water needs.      In the proposed process,      nitrate fertilizer is produced from water and air using catalysts (N2 dissociation catalysts and photocatalysts) in the non-thermal plasma (NTP) discharge reactor and is concentrated with an electrodialysis concentration system     . The objectives of the project are to (1) develop and evaluate effective and energy efficient catalysts, i.e. N2 dissociation catalysts and photocatalysts; (2) develop and construct experimental catalytic NTP apparatuses and improve the production of nitrate fertilizer via optimizing the key processing variables and conditions, i.e. catalysts dosage, feed gas rate and ratio, electric field, NTP reactor design, UV intensity, wavelength, etc., (3) evaluate the energy consumption and environmental impacts of the technology, and (4) conduct techno-economic analysis to evaluate the financial viability of the technology.</w:t>
      </w:r>
    </w:p>
    <w:p>
      <w:pPr>
        <w:spacing w:after="60"/>
      </w:pPr>
      <w:r>
        <w:rPr>
          <w:b/>
        </w:rPr>
        <w:t xml:space="preserve">What are the specific project outcomes as they relate to the public purpose of protection, conservation, preservation, and enhancement of the state’s natural resources? </w:t>
      </w:r>
    </w:p>
    <w:p>
      <w:r>
        <w:t>The specific project outcome will include the development of energy efficient N2 dissociation catalysts and photocatalysts, optimal processing conditions for high nitrogen fixation efficiency and efficient production of high-concentration nitrate, and a pilot-scale nitrogen fixation system for systems analysis and demonstration. These outcomes will move the technology closer to commercial implementation, which will help produce renewable nitrogen fertilizers, reduce fossil energy demand, and reduce CO2 emission, and thus reduce environmental impacts of the nitrogen production industry and agricultural activities, and conserve natural resources.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 and evaluate effective and energy efficient catalysts for the catalytic non-thermal plasma</w:t>
      </w:r>
    </w:p>
    <w:p>
      <w:r>
        <w:rPr>
          <w:b/>
        </w:rPr>
        <w:t xml:space="preserve">Activity Budget: </w:t>
      </w:r>
      <w:r>
        <w:t>$223,124</w:t>
      </w:r>
    </w:p>
    <w:p>
      <w:r>
        <w:rPr>
          <w:b/>
        </w:rPr>
        <w:t xml:space="preserve">Activity Description: </w:t>
        <w:br/>
      </w:r>
      <w:r>
        <w:t>Catalysts play an important role during the plasma-based catalytic nitrogen fixation process, which involves three processes, namely nitrogen and oxygen dissociation, nitroxide oxidation and nitrite oxidation process. The catalysts not only can greatly lower the activation energy of the feedstock gas, but also oxidize the nitroxide or nitrite into nitrate, thus improving the nitrogen fixation efficiency and reducing the energy consumption. In this activity, we will first synthesize several nitrogen and oxygen  dissociation catalysts, photocatalysts and some multi-functional catalysts, and characterize them to understand their structure and properties, i.e. morphology, crystal structure and chemical composition. After that, we will test their performance on nitrogen and oxygen  dissociation, nitroxide oxidation and nitrite oxidation, stability and recycling, and also evaluate the economic feasibility for future large-scale application.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Several catalysts will be prepared and characterized.</w:t>
            </w:r>
          </w:p>
        </w:tc>
        <w:tc>
          <w:tcPr>
            <w:tcW w:type="dxa" w:w="2160"/>
          </w:tcPr>
          <w:p>
            <w:pPr>
              <w:jc w:val="right"/>
            </w:pPr>
            <w:r>
              <w:rPr>
                <w:sz w:val="20"/>
              </w:rPr>
              <w:t>December 31 2022</w:t>
            </w:r>
          </w:p>
        </w:tc>
      </w:tr>
      <w:tr>
        <w:tc>
          <w:tcPr>
            <w:tcW w:type="dxa" w:w="8640"/>
          </w:tcPr>
          <w:p>
            <w:r>
              <w:rPr>
                <w:sz w:val="20"/>
              </w:rPr>
              <w:t>The performance of catalysts will be investigated.</w:t>
            </w:r>
          </w:p>
        </w:tc>
        <w:tc>
          <w:tcPr>
            <w:tcW w:type="dxa" w:w="2160"/>
          </w:tcPr>
          <w:p>
            <w:pPr>
              <w:jc w:val="right"/>
            </w:pPr>
            <w:r>
              <w:rPr>
                <w:sz w:val="20"/>
              </w:rPr>
              <w:t>June 30 2023</w:t>
            </w:r>
          </w:p>
        </w:tc>
      </w:tr>
      <w:tr>
        <w:tc>
          <w:tcPr>
            <w:tcW w:type="dxa" w:w="8640"/>
          </w:tcPr>
          <w:p>
            <w:r>
              <w:rPr>
                <w:sz w:val="20"/>
              </w:rPr>
              <w:t>New knowledge of catalytic mechanisms will be explored.</w:t>
            </w:r>
          </w:p>
        </w:tc>
        <w:tc>
          <w:tcPr>
            <w:tcW w:type="dxa" w:w="2160"/>
          </w:tcPr>
          <w:p>
            <w:pPr>
              <w:jc w:val="right"/>
            </w:pPr>
            <w:r>
              <w:rPr>
                <w:sz w:val="20"/>
              </w:rPr>
              <w:t>June 30 2023</w:t>
            </w:r>
          </w:p>
        </w:tc>
      </w:tr>
      <w:tr>
        <w:tc>
          <w:tcPr>
            <w:tcW w:type="dxa" w:w="8640"/>
          </w:tcPr>
          <w:p>
            <w:r>
              <w:rPr>
                <w:sz w:val="20"/>
              </w:rPr>
              <w:t>The economic feasibility will be evaluated.</w:t>
            </w:r>
          </w:p>
        </w:tc>
        <w:tc>
          <w:tcPr>
            <w:tcW w:type="dxa" w:w="2160"/>
          </w:tcPr>
          <w:p>
            <w:pPr>
              <w:jc w:val="right"/>
            </w:pPr>
            <w:r>
              <w:rPr>
                <w:sz w:val="20"/>
              </w:rPr>
              <w:t>June 30 2023</w:t>
            </w:r>
          </w:p>
        </w:tc>
      </w:tr>
    </w:tbl>
    <w:p/>
    <w:p>
      <w:pPr>
        <w:pStyle w:val="Heading3"/>
        <w:spacing w:after="60"/>
      </w:pPr>
      <w:r>
        <w:rPr>
          <w:b/>
          <w:color w:val="254885"/>
          <w:sz w:val="26"/>
        </w:rPr>
        <w:t>Activity 2: Develop an experimental catalytic NTP apparatus and optimize the synthesis process</w:t>
      </w:r>
    </w:p>
    <w:p>
      <w:r>
        <w:rPr>
          <w:b/>
        </w:rPr>
        <w:t xml:space="preserve">Activity Budget: </w:t>
      </w:r>
      <w:r>
        <w:t>$200,000</w:t>
      </w:r>
    </w:p>
    <w:p>
      <w:r>
        <w:rPr>
          <w:b/>
        </w:rPr>
        <w:t xml:space="preserve">Activity Description: </w:t>
        <w:br/>
      </w:r>
      <w:r>
        <w:t>The concept of synthesizing nitrogen compounds using cNPT has been proven in our preliminary studies. A new and cost effective nitrogen fixation system will be developed and we will study the processing parameters including feedstock gas, catalysts, electric field, and so on. In this activity, we will first develop a bench scale synthesis system that can house different types of NPT reactors and allow inclusion of catalysts. And then, the important parameters which greatly impacts nitrogen fixation efficiency will be studied, i.e. N2/O2 ratio, feeding gas flow rate, power input type, electric field, catalyst dosage and intensity of UV or visible light. Experiments will be conducted under different conditions to understand and optimize the process in terms of nitrate yield and energy efficiency.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 bench scale synthesis system will be developed.</w:t>
            </w:r>
          </w:p>
        </w:tc>
        <w:tc>
          <w:tcPr>
            <w:tcW w:type="dxa" w:w="2160"/>
          </w:tcPr>
          <w:p>
            <w:pPr>
              <w:jc w:val="right"/>
            </w:pPr>
            <w:r>
              <w:rPr>
                <w:sz w:val="20"/>
              </w:rPr>
              <w:t>December 31 2023</w:t>
            </w:r>
          </w:p>
        </w:tc>
      </w:tr>
      <w:tr>
        <w:tc>
          <w:tcPr>
            <w:tcW w:type="dxa" w:w="8640"/>
          </w:tcPr>
          <w:p>
            <w:r>
              <w:rPr>
                <w:sz w:val="20"/>
              </w:rPr>
              <w:t>Important parameters will be optimized.</w:t>
            </w:r>
          </w:p>
        </w:tc>
        <w:tc>
          <w:tcPr>
            <w:tcW w:type="dxa" w:w="2160"/>
          </w:tcPr>
          <w:p>
            <w:pPr>
              <w:jc w:val="right"/>
            </w:pPr>
            <w:r>
              <w:rPr>
                <w:sz w:val="20"/>
              </w:rPr>
              <w:t>June 30 2024</w:t>
            </w:r>
          </w:p>
        </w:tc>
      </w:tr>
      <w:tr>
        <w:tc>
          <w:tcPr>
            <w:tcW w:type="dxa" w:w="8640"/>
          </w:tcPr>
          <w:p>
            <w:r>
              <w:rPr>
                <w:sz w:val="20"/>
              </w:rPr>
              <w:t>New knowledge of the process works will be obtained</w:t>
            </w:r>
          </w:p>
        </w:tc>
        <w:tc>
          <w:tcPr>
            <w:tcW w:type="dxa" w:w="2160"/>
          </w:tcPr>
          <w:p>
            <w:pPr>
              <w:jc w:val="right"/>
            </w:pPr>
            <w:r>
              <w:rPr>
                <w:sz w:val="20"/>
              </w:rPr>
              <w:t>June 30 2024</w:t>
            </w:r>
          </w:p>
        </w:tc>
      </w:tr>
      <w:tr>
        <w:tc>
          <w:tcPr>
            <w:tcW w:type="dxa" w:w="8640"/>
          </w:tcPr>
          <w:p>
            <w:r>
              <w:rPr>
                <w:sz w:val="20"/>
              </w:rPr>
              <w:t>Energy efficiency will be evaluated.</w:t>
            </w:r>
          </w:p>
        </w:tc>
        <w:tc>
          <w:tcPr>
            <w:tcW w:type="dxa" w:w="2160"/>
          </w:tcPr>
          <w:p>
            <w:pPr>
              <w:jc w:val="right"/>
            </w:pPr>
            <w:r>
              <w:rPr>
                <w:sz w:val="20"/>
              </w:rPr>
              <w:t>June 30 2024</w:t>
            </w:r>
          </w:p>
        </w:tc>
      </w:tr>
    </w:tbl>
    <w:p/>
    <w:p>
      <w:pPr>
        <w:pStyle w:val="Heading3"/>
        <w:spacing w:after="60"/>
      </w:pPr>
      <w:r>
        <w:rPr>
          <w:b/>
          <w:color w:val="254885"/>
          <w:sz w:val="26"/>
        </w:rPr>
        <w:t>Activity 3: Develop concentration process to produce high-concentration nitrate</w:t>
      </w:r>
    </w:p>
    <w:p>
      <w:r>
        <w:rPr>
          <w:b/>
        </w:rPr>
        <w:t xml:space="preserve">Activity Budget: </w:t>
      </w:r>
      <w:r>
        <w:t>$100,000</w:t>
      </w:r>
    </w:p>
    <w:p>
      <w:r>
        <w:rPr>
          <w:b/>
        </w:rPr>
        <w:t xml:space="preserve">Activity Description: </w:t>
        <w:br/>
      </w:r>
      <w:r>
        <w:t>High-concentration nitrate is beneficial to storing and using the fertilizer. An efficient nitrate concentration system based on electrodialysis will be developed and the processing parameters will be investigated. In the activity, we will fabricate several ion exchange membranes, characterize their structure and test their performance on the selective migration of nitrate ions in the concentration system. After that, we will introduce the ion exchange membrane in an electroosmosis system, and optimize the main parameters (such as initial nitrate concentration, pH, voltage and temperature) and develop the control strategy of this system.</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Some ion exchange membranes will be fabricated and characterized.</w:t>
            </w:r>
          </w:p>
        </w:tc>
        <w:tc>
          <w:tcPr>
            <w:tcW w:type="dxa" w:w="2160"/>
          </w:tcPr>
          <w:p>
            <w:pPr>
              <w:jc w:val="right"/>
            </w:pPr>
            <w:r>
              <w:rPr>
                <w:sz w:val="20"/>
              </w:rPr>
              <w:t>December 31 2024</w:t>
            </w:r>
          </w:p>
        </w:tc>
      </w:tr>
      <w:tr>
        <w:tc>
          <w:tcPr>
            <w:tcW w:type="dxa" w:w="8640"/>
          </w:tcPr>
          <w:p>
            <w:r>
              <w:rPr>
                <w:sz w:val="20"/>
              </w:rPr>
              <w:t>The main parameters for the nitrate concentration system will be optimized.</w:t>
            </w:r>
          </w:p>
        </w:tc>
        <w:tc>
          <w:tcPr>
            <w:tcW w:type="dxa" w:w="2160"/>
          </w:tcPr>
          <w:p>
            <w:pPr>
              <w:jc w:val="right"/>
            </w:pPr>
            <w:r>
              <w:rPr>
                <w:sz w:val="20"/>
              </w:rPr>
              <w:t>December 31 2024</w:t>
            </w:r>
          </w:p>
        </w:tc>
      </w:tr>
      <w:tr>
        <w:tc>
          <w:tcPr>
            <w:tcW w:type="dxa" w:w="8640"/>
          </w:tcPr>
          <w:p>
            <w:r>
              <w:rPr>
                <w:sz w:val="20"/>
              </w:rPr>
              <w:t>The control strategy of this system will be obtained.</w:t>
            </w:r>
          </w:p>
        </w:tc>
        <w:tc>
          <w:tcPr>
            <w:tcW w:type="dxa" w:w="2160"/>
          </w:tcPr>
          <w:p>
            <w:pPr>
              <w:jc w:val="right"/>
            </w:pPr>
            <w:r>
              <w:rPr>
                <w:sz w:val="20"/>
              </w:rPr>
              <w:t>December 31 2024</w:t>
            </w:r>
          </w:p>
        </w:tc>
      </w:tr>
    </w:tbl>
    <w:p/>
    <w:p>
      <w:pPr>
        <w:pStyle w:val="Heading3"/>
        <w:spacing w:after="60"/>
      </w:pPr>
      <w:r>
        <w:rPr>
          <w:b/>
          <w:color w:val="254885"/>
          <w:sz w:val="26"/>
        </w:rPr>
        <w:t>Activity 4: Develop an integrated catalytic high-concentration nitrate production system and evaluate environmental impacts and economic performance</w:t>
      </w:r>
    </w:p>
    <w:p>
      <w:r>
        <w:rPr>
          <w:b/>
        </w:rPr>
        <w:t xml:space="preserve">Activity Budget: </w:t>
      </w:r>
      <w:r>
        <w:t>$278,876</w:t>
      </w:r>
    </w:p>
    <w:p>
      <w:r>
        <w:rPr>
          <w:b/>
        </w:rPr>
        <w:t xml:space="preserve">Activity Description: </w:t>
        <w:br/>
      </w:r>
      <w:r>
        <w:t>We will communicate our findings from Activity 1-3 to primary stakeholders such as fertilizer producers, farmers, and farm machine manufacturers. Based on their feedback, we will design and construct a small pilot scale integrated system for comprehensive evaluation of the technology. Rigorous tests will be conducted in the lab and then we will move the system to the field for testing and demonstration. After that, the mass and energy balance data together with emission data will be used to evaluate the environmental and economic performance using mathematics models. This evaluation will provide good assessment of the environmental impact of the proposed technology. Further R&amp;D efforts and commercialization strategy will be recommended.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An integrated catalytic high-concentration nitrate production system will be developed.</w:t>
            </w:r>
          </w:p>
        </w:tc>
        <w:tc>
          <w:tcPr>
            <w:tcW w:type="dxa" w:w="2160"/>
          </w:tcPr>
          <w:p>
            <w:pPr>
              <w:jc w:val="right"/>
            </w:pPr>
            <w:r>
              <w:rPr>
                <w:sz w:val="20"/>
              </w:rPr>
              <w:t>June 30 2025</w:t>
            </w:r>
          </w:p>
        </w:tc>
      </w:tr>
      <w:tr>
        <w:tc>
          <w:tcPr>
            <w:tcW w:type="dxa" w:w="8640"/>
          </w:tcPr>
          <w:p>
            <w:r>
              <w:rPr>
                <w:sz w:val="20"/>
              </w:rPr>
              <w:t>The energy efficiency, cost, and emission will be evaluated</w:t>
            </w:r>
          </w:p>
        </w:tc>
        <w:tc>
          <w:tcPr>
            <w:tcW w:type="dxa" w:w="2160"/>
          </w:tcPr>
          <w:p>
            <w:pPr>
              <w:jc w:val="right"/>
            </w:pPr>
            <w:r>
              <w:rPr>
                <w:sz w:val="20"/>
              </w:rPr>
              <w:t>June 30 2025</w:t>
            </w:r>
          </w:p>
        </w:tc>
      </w:tr>
      <w:tr>
        <w:tc>
          <w:tcPr>
            <w:tcW w:type="dxa" w:w="8640"/>
          </w:tcPr>
          <w:p>
            <w:r>
              <w:rPr>
                <w:sz w:val="20"/>
              </w:rPr>
              <w:t>Environmental impacts will be assessed</w:t>
            </w:r>
          </w:p>
        </w:tc>
        <w:tc>
          <w:tcPr>
            <w:tcW w:type="dxa" w:w="2160"/>
          </w:tcPr>
          <w:p>
            <w:pPr>
              <w:jc w:val="right"/>
            </w:pPr>
            <w:r>
              <w:rPr>
                <w:sz w:val="20"/>
              </w:rPr>
              <w:t>June 30 2025</w:t>
            </w:r>
          </w:p>
        </w:tc>
      </w:tr>
      <w:tr>
        <w:tc>
          <w:tcPr>
            <w:tcW w:type="dxa" w:w="8640"/>
          </w:tcPr>
          <w:p>
            <w:r>
              <w:rPr>
                <w:sz w:val="20"/>
              </w:rPr>
              <w:t>Further R&amp;D and commercialization strategy will be recommended</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Paul Chen</w:t>
            </w:r>
          </w:p>
        </w:tc>
        <w:tc>
          <w:tcPr>
            <w:tcW w:type="dxa" w:w="1440"/>
          </w:tcPr>
          <w:p>
            <w:r>
              <w:rPr>
                <w:sz w:val="20"/>
              </w:rPr>
              <w:t>University of Minnesota</w:t>
            </w:r>
          </w:p>
        </w:tc>
        <w:tc>
          <w:tcPr>
            <w:tcW w:type="dxa" w:w="6840"/>
          </w:tcPr>
          <w:p>
            <w:r>
              <w:rPr>
                <w:sz w:val="20"/>
              </w:rPr>
              <w:t>Co-PI</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New scientific knowledge on the feedstock breakdown and product synthesis during plasma-based catalytic nitrogen fixation process will be acquired through research, and the techno-economic analysis will be conducted to evaluate the financial viability of the technology, and the demonstration will help raise significant interests from the public. We will seek industry partners and private, state, and federal funding to further develop and eventually commercialize the technology.</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Demonstrating Innovative Technologies to Fully Utilize Wastewater Resources</w:t>
            </w:r>
          </w:p>
        </w:tc>
        <w:tc>
          <w:tcPr>
            <w:tcW w:type="dxa" w:w="4680"/>
          </w:tcPr>
          <w:p>
            <w:r>
              <w:rPr>
                <w:sz w:val="20"/>
              </w:rPr>
              <w:t>M.L. 2014, Chp. 226, Sec. 2, Subd. 08c</w:t>
            </w:r>
          </w:p>
        </w:tc>
        <w:tc>
          <w:tcPr>
            <w:tcW w:type="dxa" w:w="1440"/>
          </w:tcPr>
          <w:p>
            <w:pPr>
              <w:jc w:val="right"/>
            </w:pPr>
            <w:r>
              <w:rPr>
                <w:sz w:val="20"/>
              </w:rPr>
              <w:t>$1,000,000</w:t>
            </w:r>
          </w:p>
        </w:tc>
      </w:tr>
      <w:tr>
        <w:tc>
          <w:tcPr>
            <w:tcW w:type="dxa" w:w="4680"/>
          </w:tcPr>
          <w:p>
            <w:r>
              <w:rPr>
                <w:sz w:val="20"/>
              </w:rPr>
              <w:t>Development of Innovative Sensor Technologies for Water Monitoring</w:t>
            </w:r>
          </w:p>
        </w:tc>
        <w:tc>
          <w:tcPr>
            <w:tcW w:type="dxa" w:w="4680"/>
          </w:tcPr>
          <w:p>
            <w:r>
              <w:rPr>
                <w:sz w:val="20"/>
              </w:rPr>
              <w:t>M.L. 2016, Chp. 186, Sec. 2, Subd. 04j</w:t>
            </w:r>
          </w:p>
        </w:tc>
        <w:tc>
          <w:tcPr>
            <w:tcW w:type="dxa" w:w="1440"/>
          </w:tcPr>
          <w:p>
            <w:pPr>
              <w:jc w:val="right"/>
            </w:pPr>
            <w:r>
              <w:rPr>
                <w:sz w:val="20"/>
              </w:rPr>
              <w:t>$509,000</w:t>
            </w:r>
          </w:p>
        </w:tc>
      </w:tr>
    </w:tbl>
    <w:p/>
    <w:p>
      <w:pPr>
        <w:pStyle w:val="Heading2"/>
        <w:spacing w:before="0" w:after="80"/>
      </w:pPr>
      <w:r>
        <w:rPr>
          <w:b/>
          <w:color w:val="2C559C"/>
          <w:sz w:val="28"/>
        </w:rPr>
        <w:t>Project Manager and Organization Qualifications</w:t>
      </w:r>
    </w:p>
    <w:p>
      <w:r>
        <w:rPr>
          <w:b/>
        </w:rPr>
        <w:t xml:space="preserve">Project Manager Name: </w:t>
      </w:r>
      <w:r>
        <w:t>Roger Ruan</w:t>
      </w:r>
    </w:p>
    <w:p>
      <w:r>
        <w:rPr>
          <w:b/>
        </w:rPr>
        <w:t xml:space="preserve">Job Title: </w:t>
      </w:r>
      <w:r>
        <w:t>Professor and Director</w:t>
      </w:r>
    </w:p>
    <w:p>
      <w:r>
        <w:rPr>
          <w:b/>
        </w:rPr>
        <w:t xml:space="preserve">Provide description of the project manager’s qualifications to manage the proposed project. </w:t>
        <w:br/>
      </w:r>
      <w:r>
        <w:t>Dr. Roger Ruan, Professor and Director of Graduate Studies, Department of Bioproducts and Biosystems Engineering, and Director of Center for Biorefining at University of Minnesota, is a Fellow of ASABE and a Fellow of IFT. Dr. Ruan’s research focuses on renewable energy and environment technologies for sustainable development and circular economy. Specifically, he has conducted research and published his findings in the areas of municipal, agricultural, and industrial wastewater treatment and utilization through novel anaerobic digestion, microalgae cultivation, and hydroponic cultivation, biomass and solid wastes (including plastics) pyrolysis and gasification, airborne and other pathogen disinfection and pollutant control, catalysis, non-thermal plasma, and nitrogen fixation, etc. He is a top-cited author with an h-index of 69, i10-index of 301, and over 19,000 citations. He has supervised over 75 graduate students, 140 post-doctors, research fellows, and other engineers and scientists, and 21 of his Ph.D. students and post-doctors hold university faculty positions. He has also been invited to give over 300 keynote lectures, invited symposium presentations, company seminars, and short courses. Professor Ruan has received and managed over 200 projects totaling over $45 million in various funding for research, including major funding from USDA, DOE, DOT, DOD, LCCMR, and industries. He has served as guest editor or editorial board member of Bioresource Technology, Renewable Energy, Engineering, Applied Catalysis and Chemical Engineering, Journal of Food Process Engineering, The Open Plasma Physics Journal, and Associate Editor of Transactions of ASABE, Engineering Applications in Agriculture, and Transactions of CSAE, and Chairman of Editorial Board and Editor-in-Chief of International Journal of Agricultural and Biological Engineering, etc. His earlier LCCMR funded projects have resulted in several patented technologies which have been successfully licensed to the industry. Therefore, he has the technical expertise and project management experience to ensure the execution of proposed projects.</w:t>
      </w:r>
    </w:p>
    <w:p>
      <w:r>
        <w:rPr>
          <w:b/>
        </w:rPr>
        <w:t xml:space="preserve">Organization: </w:t>
      </w:r>
      <w:r>
        <w:t>U of MN - College of Food, Agricultural and Natural Resource Sciences</w:t>
      </w:r>
    </w:p>
    <w:p>
      <w:r>
        <w:rPr>
          <w:b/>
        </w:rPr>
        <w:t xml:space="preserve">Organization Description: </w:t>
        <w:br/>
      </w:r>
      <w:r>
        <w:t>The Center for Biorefining is a University of Minnesota research center affiliated with the College of Food, Agricultural and Natural Sciences and help coordinate the University efforts and resources to conduct exploratory fundamental and applied research and provide education on science and technology for environment protection and circular economy; stimulate collaboration among the University researchers, other public sector investigators, and private investigators involved in biobased production technology development; promote technology transfer to industries; and foster economic development in rural areas. The Center’s research programs are founded by DOE, USDA, DOT, DOD, LCCMR, IREE, Xcel Energy, and other federal and state agencies, NGOs, and private companies. The Center is equipped with state of the arts analytical instruments, and processing facilities ranging from bench to pilot scale.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Professor/faculty</w:t>
            </w:r>
          </w:p>
        </w:tc>
        <w:tc>
          <w:tcPr>
            <w:tcW w:type="dxa" w:w="1440"/>
          </w:tcPr>
          <w:p>
            <w:r>
              <w:rPr>
                <w:sz w:val="20"/>
              </w:rPr>
            </w:r>
          </w:p>
        </w:tc>
        <w:tc>
          <w:tcPr>
            <w:tcW w:type="dxa" w:w="5472"/>
          </w:tcPr>
          <w:p>
            <w:r>
              <w:rPr>
                <w:sz w:val="20"/>
              </w:rPr>
              <w:t>PI - 2 weeks summer salary</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$30,285</w:t>
            </w:r>
          </w:p>
        </w:tc>
      </w:tr>
      <w:tr>
        <w:tc>
          <w:tcPr>
            <w:tcW w:type="dxa" w:w="864"/>
          </w:tcPr>
          <w:p>
            <w:r>
              <w:rPr>
                <w:sz w:val="20"/>
              </w:rPr>
              <w:t>Professor/faculty</w:t>
            </w:r>
          </w:p>
        </w:tc>
        <w:tc>
          <w:tcPr>
            <w:tcW w:type="dxa" w:w="1440"/>
          </w:tcPr>
          <w:p>
            <w:r>
              <w:rPr>
                <w:sz w:val="20"/>
              </w:rPr>
            </w:r>
          </w:p>
        </w:tc>
        <w:tc>
          <w:tcPr>
            <w:tcW w:type="dxa" w:w="5472"/>
          </w:tcPr>
          <w:p>
            <w:r>
              <w:rPr>
                <w:sz w:val="20"/>
              </w:rPr>
              <w:t>Co-PI - contract faculty</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$66,920</w:t>
            </w:r>
          </w:p>
        </w:tc>
      </w:tr>
      <w:tr>
        <w:tc>
          <w:tcPr>
            <w:tcW w:type="dxa" w:w="864"/>
          </w:tcPr>
          <w:p>
            <w:r>
              <w:rPr>
                <w:sz w:val="20"/>
              </w:rPr>
              <w:t>Two Graduate Research Assistants</w:t>
            </w:r>
          </w:p>
        </w:tc>
        <w:tc>
          <w:tcPr>
            <w:tcW w:type="dxa" w:w="1440"/>
          </w:tcPr>
          <w:p>
            <w:r>
              <w:rPr>
                <w:sz w:val="20"/>
              </w:rPr>
            </w:r>
          </w:p>
        </w:tc>
        <w:tc>
          <w:tcPr>
            <w:tcW w:type="dxa" w:w="5472"/>
          </w:tcPr>
          <w:p>
            <w:r>
              <w:rPr>
                <w:sz w:val="20"/>
              </w:rPr>
              <w:t>Researchers</w:t>
            </w:r>
          </w:p>
        </w:tc>
        <w:tc>
          <w:tcPr>
            <w:tcW w:type="dxa" w:w="4032"/>
          </w:tcPr>
          <w:p>
            <w:r>
              <w:rPr>
                <w:sz w:val="20"/>
              </w:rPr>
            </w:r>
          </w:p>
        </w:tc>
        <w:tc>
          <w:tcPr>
            <w:tcW w:type="dxa" w:w="360"/>
          </w:tcPr>
          <w:p>
            <w:r>
              <w:rPr>
                <w:sz w:val="20"/>
              </w:rPr>
            </w:r>
          </w:p>
        </w:tc>
        <w:tc>
          <w:tcPr>
            <w:tcW w:type="dxa" w:w="360"/>
          </w:tcPr>
          <w:p>
            <w:pPr>
              <w:jc w:val="right"/>
            </w:pPr>
            <w:r>
              <w:rPr>
                <w:sz w:val="20"/>
              </w:rPr>
              <w:t>45%</w:t>
            </w:r>
          </w:p>
        </w:tc>
        <w:tc>
          <w:tcPr>
            <w:tcW w:type="dxa" w:w="360"/>
          </w:tcPr>
          <w:p>
            <w:pPr>
              <w:jc w:val="right"/>
            </w:pPr>
            <w:r>
              <w:rPr>
                <w:sz w:val="20"/>
              </w:rPr>
              <w:t>3</w:t>
            </w:r>
          </w:p>
        </w:tc>
        <w:tc>
          <w:tcPr>
            <w:tcW w:type="dxa" w:w="360"/>
          </w:tcPr>
          <w:p>
            <w:r>
              <w:rPr>
                <w:sz w:val="20"/>
              </w:rPr>
            </w:r>
          </w:p>
        </w:tc>
        <w:tc>
          <w:tcPr>
            <w:tcW w:type="dxa" w:w="1152"/>
          </w:tcPr>
          <w:p>
            <w:pPr>
              <w:jc w:val="right"/>
            </w:pPr>
            <w:r>
              <w:rPr>
                <w:sz w:val="20"/>
              </w:rPr>
              <w:t>$301,902</w:t>
            </w:r>
          </w:p>
        </w:tc>
      </w:tr>
      <w:tr>
        <w:tc>
          <w:tcPr>
            <w:tcW w:type="dxa" w:w="864"/>
          </w:tcPr>
          <w:p>
            <w:r>
              <w:rPr>
                <w:sz w:val="20"/>
              </w:rPr>
              <w:t>Post Doctoral Reseracher</w:t>
            </w:r>
          </w:p>
        </w:tc>
        <w:tc>
          <w:tcPr>
            <w:tcW w:type="dxa" w:w="1440"/>
          </w:tcPr>
          <w:p>
            <w:r>
              <w:rPr>
                <w:sz w:val="20"/>
              </w:rPr>
            </w:r>
          </w:p>
        </w:tc>
        <w:tc>
          <w:tcPr>
            <w:tcW w:type="dxa" w:w="5472"/>
          </w:tcPr>
          <w:p>
            <w:r>
              <w:rPr>
                <w:sz w:val="20"/>
              </w:rPr>
              <w:t>Research</w:t>
            </w:r>
          </w:p>
        </w:tc>
        <w:tc>
          <w:tcPr>
            <w:tcW w:type="dxa" w:w="4032"/>
          </w:tcPr>
          <w:p>
            <w:r>
              <w:rPr>
                <w:sz w:val="20"/>
              </w:rPr>
            </w:r>
          </w:p>
        </w:tc>
        <w:tc>
          <w:tcPr>
            <w:tcW w:type="dxa" w:w="360"/>
          </w:tcPr>
          <w:p>
            <w:r>
              <w:rPr>
                <w:sz w:val="20"/>
              </w:rPr>
            </w:r>
          </w:p>
        </w:tc>
        <w:tc>
          <w:tcPr>
            <w:tcW w:type="dxa" w:w="360"/>
          </w:tcPr>
          <w:p>
            <w:pPr>
              <w:jc w:val="right"/>
            </w:pPr>
            <w:r>
              <w:rPr>
                <w:sz w:val="20"/>
              </w:rPr>
              <w:t>25.4%</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$191,887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$590,994</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Minnesota</w:t>
            </w:r>
          </w:p>
        </w:tc>
        <w:tc>
          <w:tcPr>
            <w:tcW w:type="dxa" w:w="1440"/>
          </w:tcPr>
          <w:p>
            <w:r>
              <w:rPr>
                <w:sz w:val="20"/>
              </w:rPr>
              <w:t>Internal services or fees (uncommon)</w:t>
            </w:r>
          </w:p>
        </w:tc>
        <w:tc>
          <w:tcPr>
            <w:tcW w:type="dxa" w:w="5472"/>
          </w:tcPr>
          <w:p>
            <w:r>
              <w:rPr>
                <w:sz w:val="20"/>
              </w:rPr>
              <w:t>Lab services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$15,000</w:t>
            </w:r>
          </w:p>
        </w:tc>
      </w:tr>
      <w:tr>
        <w:tc>
          <w:tcPr>
            <w:tcW w:type="dxa" w:w="864"/>
          </w:tcPr>
          <w:p>
            <w:r>
              <w:rPr>
                <w:sz w:val="20"/>
              </w:rPr>
              <w:t>equipment manufacturer</w:t>
            </w:r>
          </w:p>
        </w:tc>
        <w:tc>
          <w:tcPr>
            <w:tcW w:type="dxa" w:w="1440"/>
          </w:tcPr>
          <w:p>
            <w:r>
              <w:rPr>
                <w:sz w:val="20"/>
              </w:rPr>
              <w:t>Professional or Technical Service Contract</w:t>
            </w:r>
          </w:p>
        </w:tc>
        <w:tc>
          <w:tcPr>
            <w:tcW w:type="dxa" w:w="5472"/>
          </w:tcPr>
          <w:p>
            <w:r>
              <w:rPr>
                <w:sz w:val="20"/>
              </w:rPr>
              <w:t>Maintenance and repair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$21,000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Components for fabrication of a small pilot system including reactor vessel, high voltage power supply, catalysts, pumps, membrane separator</w:t>
            </w:r>
          </w:p>
        </w:tc>
        <w:tc>
          <w:tcPr>
            <w:tcW w:type="dxa" w:w="4032"/>
          </w:tcPr>
          <w:p>
            <w:r>
              <w:rPr>
                <w:sz w:val="20"/>
              </w:rPr>
              <w:t>To fabricate a small pilot system for extensive testing, cost analysis, and demonstration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$150,000</w:t>
            </w:r>
          </w:p>
        </w:tc>
      </w:tr>
      <w:tr>
        <w:tc>
          <w:tcPr>
            <w:tcW w:type="dxa" w:w="864"/>
          </w:tcPr>
          <w:p>
            <w:r>
              <w:rPr>
                <w:sz w:val="20"/>
              </w:rPr>
            </w:r>
          </w:p>
        </w:tc>
        <w:tc>
          <w:tcPr>
            <w:tcW w:type="dxa" w:w="1440"/>
          </w:tcPr>
          <w:p>
            <w:r>
              <w:rPr>
                <w:sz w:val="20"/>
              </w:rPr>
              <w:t>Tools and Supplies</w:t>
            </w:r>
          </w:p>
        </w:tc>
        <w:tc>
          <w:tcPr>
            <w:tcW w:type="dxa" w:w="5472"/>
          </w:tcPr>
          <w:p>
            <w:r>
              <w:rPr>
                <w:sz w:val="20"/>
              </w:rPr>
              <w:t>Purchase of lab and miscellaneous supplies, including feedstock, catalysts, chemicals, consumable supplies for analytical instruments</w:t>
            </w:r>
          </w:p>
        </w:tc>
        <w:tc>
          <w:tcPr>
            <w:tcW w:type="dxa" w:w="4032"/>
          </w:tcPr>
          <w:p>
            <w:r>
              <w:rPr>
                <w:sz w:val="20"/>
              </w:rPr>
              <w:t>For running experiments and operating conversion systems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$37,570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$187,570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12 one-day 3-person trips, 100 miles each round trip ($0.56/mile), meals @$49/person</w:t>
            </w:r>
          </w:p>
        </w:tc>
        <w:tc>
          <w:tcPr>
            <w:tcW w:type="dxa" w:w="4032"/>
          </w:tcPr>
          <w:p>
            <w:r>
              <w:rPr>
                <w:sz w:val="20"/>
              </w:rPr>
              <w:t>Visits to farms, conduct experiments on farms and industry collaborators sites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$2,436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$2,436</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$802,000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Institutional Authorization to Submit</w:t>
            </w:r>
          </w:p>
        </w:tc>
        <w:tc>
          <w:tcPr>
            <w:tcW w:type="dxa" w:w="5400"/>
          </w:tcPr>
          <w:p>
            <w:r>
              <w:rPr>
                <w:sz w:val="20"/>
              </w:rPr>
            </w:r>
            <w:r>
              <w:rPr>
                <w:color w:val="000000" w:themeColor="hyperlink"/>
                <w:sz w:val="20"/>
                <w:u w:val="single"/>
              </w:rPr>
              <w:hyperlink r:id="rId17">
                <w:r>
                  <w:rPr/>
                  <w:t>09d105b0-de6.pdf</w:t>
                </w:r>
              </w:hyperlink>
            </w:r>
          </w:p>
        </w:tc>
      </w:tr>
      <w:tr>
        <w:tc>
          <w:tcPr>
            <w:tcW w:type="dxa" w:w="5400"/>
          </w:tcPr>
          <w:p>
            <w:r>
              <w:rPr>
                <w:sz w:val="20"/>
              </w:rPr>
              <w:t>Visual graphic</w:t>
            </w:r>
          </w:p>
        </w:tc>
        <w:tc>
          <w:tcPr>
            <w:tcW w:type="dxa" w:w="5400"/>
          </w:tcPr>
          <w:p>
            <w:r>
              <w:rPr>
                <w:sz w:val="20"/>
              </w:rPr>
            </w:r>
            <w:r>
              <w:rPr>
                <w:color w:val="000000" w:themeColor="hyperlink"/>
                <w:sz w:val="20"/>
                <w:u w:val="single"/>
              </w:rPr>
              <w:hyperlink r:id="rId18">
                <w:r>
                  <w:rPr/>
                  <w:t>43321dad-796.pdf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attachments/09d105b0-de6.pdf" TargetMode="External"/><Relationship Id="rId18" Type="http://schemas.openxmlformats.org/officeDocument/2006/relationships/hyperlink" Target="https://lccmrprojectmgmt.leg.mn/media/attachments/43321dad-79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Nitrogen fixation and nitrate concentration for land crops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