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2022-049</w:t>
      </w:r>
    </w:p>
    <w:p>
      <w:r>
        <w:rPr>
          <w:b/>
        </w:rPr>
        <w:t xml:space="preserve">Proposal Title: </w:t>
      </w:r>
      <w:r>
        <w:t>Destruct per/polyfluoroalkyl substances (PFAS) in landfill leachates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and examine physical, biological, thermochemical, and photochemical methods for destruction of per- and polyfluoroalkyl substances (PFAS) in landfill leachate.</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Per- and polyfluoroalkyl substances (PFAS) have been manufactured and used in a variety of industries in the United States and around the globe. They have broad applications in industry and society, such as food packaging, non-stick stain repellent, waterproof products, industrial applications, and firefighting chemicals. PFAS can enter the environment through production or waste streams and can be very persistent in the environment and the human body because they resist heat, harsh chemical conditions, or moisture, creating a challenge when it comes time for disposal. EPA guidance on PFAS management recommends three disposal methods, namely, incineration, landfill, and injection into deep wells. However, all these methods have many significant unknowns and facilities with these required capabilities are lacking. As PFAS is becoming more and more problematic with increasing awareness, it has recently been the focus of regulatory attention. There is a significant need to develop effective methods to treat PFAS in waste streams.</w:t>
      </w:r>
    </w:p>
    <w:p>
      <w:pPr>
        <w:spacing w:after="60"/>
      </w:pPr>
      <w:r>
        <w:rPr>
          <w:b/>
        </w:rPr>
        <w:t>What is your proposed solution to the problem or opportunity discussed above? i.e. What are you seeking funding to do? You will be asked to expand on this in Activities and Milestones.</w:t>
      </w:r>
    </w:p>
    <w:p>
      <w:r>
        <w:t>We propose to develop and study processes to treat leachate from landfill. The landfill method recommended by EPA is only effective if leachate is properly treated to prevent PFAS from entering the surface and ground water and atmosphere. Four different approaches will be investigated: 1) separation: ion exchange and membranes will be used to separate and remove PFAS from the leachate; 2) filtration/absorption, resin, biochar, or other absorbents will be used to filter leachate and retain PFAS; 3) degrading: breaking down PFAS through photocatalysis; and 4) flocculation: growing algae on leachate, flocculating to remove algal biomass and PFAS, and thermochemically processing harvested mass to destruct PFAS and produce biofuel and biochar.</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will include the understanding of how PFAS in landfill leachate respond to the proposed treatments and the potential of these treatments to become technically and financially viable for preventing PFAS from entering Minnesota waters, protecting the state's water resource, aquatic lives, and human safety.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examine the effectiveness of physical, biological, and photochemical methods</w:t>
      </w:r>
    </w:p>
    <w:p>
      <w:r>
        <w:rPr>
          <w:b/>
        </w:rPr>
        <w:t xml:space="preserve">Activity Budget: </w:t>
      </w:r>
      <w:r>
        <w:t>$150,000</w:t>
      </w:r>
    </w:p>
    <w:p>
      <w:r>
        <w:rPr>
          <w:b/>
        </w:rPr>
        <w:t xml:space="preserve">Activity Description: </w:t>
        <w:br/>
      </w:r>
      <w:r>
        <w:t>We will work with landfill facilities to develop sampling protocols. The PFAS levels in the raw samples will be analyzed using standard methods. Samples will then be subjected to four treatments: 1) ion exchange and membranes separation (nanofiltration and reverse osmosis membranes), 2) filtration/absorption by resin, biochar, or other absorbents, 3) photocatalysis, and 4) algae cultivation and flocculation. Algae cultivation is designed to utilize nutrients in leachate and help flocculation using polyacrylamide (PAM) to remove PFAS. The harvested biomass together with PFAS will be microwave-pyrolyzed to decompose PFAS and produce biofuel and biochar. The biochar will be used as one of the absorbents used in the project. Experiments will be carried out under different process conditions including flow rate and pH for separation and filtration/absorption, light and nutrient supplements for algae cultivation, and type and loading of catalysts (including doped photocatalysts) and light for photocatalysis. Combinations of these treatments (treatment train) will also be investigated. The PFAS levels during and after the treatments will be monitored.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Sampling protocols are developed</w:t>
            </w:r>
          </w:p>
        </w:tc>
        <w:tc>
          <w:tcPr>
            <w:tcW w:type="dxa" w:w="2160"/>
          </w:tcPr>
          <w:p>
            <w:pPr>
              <w:jc w:val="right"/>
            </w:pPr>
            <w:r>
              <w:rPr>
                <w:sz w:val="20"/>
              </w:rPr>
              <w:t>December 31 2022</w:t>
            </w:r>
          </w:p>
        </w:tc>
      </w:tr>
      <w:tr>
        <w:tc>
          <w:tcPr>
            <w:tcW w:type="dxa" w:w="8640"/>
          </w:tcPr>
          <w:p>
            <w:r>
              <w:rPr>
                <w:sz w:val="20"/>
              </w:rPr>
              <w:t>Processes and experimental apparatuses are set up</w:t>
            </w:r>
          </w:p>
        </w:tc>
        <w:tc>
          <w:tcPr>
            <w:tcW w:type="dxa" w:w="2160"/>
          </w:tcPr>
          <w:p>
            <w:pPr>
              <w:jc w:val="right"/>
            </w:pPr>
            <w:r>
              <w:rPr>
                <w:sz w:val="20"/>
              </w:rPr>
              <w:t>March 31 2023</w:t>
            </w:r>
          </w:p>
        </w:tc>
      </w:tr>
      <w:tr>
        <w:tc>
          <w:tcPr>
            <w:tcW w:type="dxa" w:w="8640"/>
          </w:tcPr>
          <w:p>
            <w:r>
              <w:rPr>
                <w:sz w:val="20"/>
              </w:rPr>
              <w:t>Individual treatments are examined</w:t>
            </w:r>
          </w:p>
        </w:tc>
        <w:tc>
          <w:tcPr>
            <w:tcW w:type="dxa" w:w="2160"/>
          </w:tcPr>
          <w:p>
            <w:pPr>
              <w:jc w:val="right"/>
            </w:pPr>
            <w:r>
              <w:rPr>
                <w:sz w:val="20"/>
              </w:rPr>
              <w:t>December 31 2023</w:t>
            </w:r>
          </w:p>
        </w:tc>
      </w:tr>
      <w:tr>
        <w:tc>
          <w:tcPr>
            <w:tcW w:type="dxa" w:w="8640"/>
          </w:tcPr>
          <w:p>
            <w:r>
              <w:rPr>
                <w:sz w:val="20"/>
              </w:rPr>
              <w:t>Combined treatments are examined</w:t>
            </w:r>
          </w:p>
        </w:tc>
        <w:tc>
          <w:tcPr>
            <w:tcW w:type="dxa" w:w="2160"/>
          </w:tcPr>
          <w:p>
            <w:pPr>
              <w:jc w:val="right"/>
            </w:pPr>
            <w:r>
              <w:rPr>
                <w:sz w:val="20"/>
              </w:rPr>
              <w:t>December 31 2024</w:t>
            </w:r>
          </w:p>
        </w:tc>
      </w:tr>
    </w:tbl>
    <w:p/>
    <w:p>
      <w:pPr>
        <w:pStyle w:val="Heading3"/>
        <w:spacing w:after="60"/>
      </w:pPr>
      <w:r>
        <w:rPr>
          <w:b/>
          <w:color w:val="254885"/>
          <w:sz w:val="26"/>
        </w:rPr>
        <w:t>Activity 2: Study kinetics and conduct preliminary evaluation of environmental impacts</w:t>
      </w:r>
    </w:p>
    <w:p>
      <w:r>
        <w:rPr>
          <w:b/>
        </w:rPr>
        <w:t xml:space="preserve">Activity Budget: </w:t>
      </w:r>
      <w:r>
        <w:t>$50,000</w:t>
      </w:r>
    </w:p>
    <w:p>
      <w:r>
        <w:rPr>
          <w:b/>
        </w:rPr>
        <w:t xml:space="preserve">Activity Description: </w:t>
        <w:br/>
      </w:r>
      <w:r>
        <w:t>Data acquired under different conditions and treatment times will be analyzed and used to develop and verify kinetic models which will be used to predict the performance of the treatments beyond the experimental conditions and provide information useful for scale up and environmental impact assessment.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are compiled and analyzed, mathematical models are established</w:t>
            </w:r>
          </w:p>
        </w:tc>
        <w:tc>
          <w:tcPr>
            <w:tcW w:type="dxa" w:w="2160"/>
          </w:tcPr>
          <w:p>
            <w:pPr>
              <w:jc w:val="right"/>
            </w:pPr>
            <w:r>
              <w:rPr>
                <w:sz w:val="20"/>
              </w:rPr>
              <w:t>March 31 2025</w:t>
            </w:r>
          </w:p>
        </w:tc>
      </w:tr>
      <w:tr>
        <w:tc>
          <w:tcPr>
            <w:tcW w:type="dxa" w:w="8640"/>
          </w:tcPr>
          <w:p>
            <w:r>
              <w:rPr>
                <w:sz w:val="20"/>
              </w:rPr>
              <w:t>Preliminary assessment of environmental impacts is carried out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scientific knowledge acquired through this exploratory research will help guide further research and development, raise awareness and interests, and attract industrial partnerships and public funding for further research and development, and eventual implementation of new PFAS technologies. We believe Metropolitan Council Environmental Services will be interested in the proposed technologies. EPA has provided tens of millions of dollars grants for research on PFAS management.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$23,622</w:t>
            </w:r>
          </w:p>
        </w:tc>
      </w:tr>
      <w:tr>
        <w:tc>
          <w:tcPr>
            <w:tcW w:type="dxa" w:w="864"/>
          </w:tcPr>
          <w:p>
            <w:r>
              <w:rPr>
                <w:sz w:val="20"/>
              </w:rPr>
              <w:t>Professor/faculty</w:t>
            </w:r>
          </w:p>
        </w:tc>
        <w:tc>
          <w:tcPr>
            <w:tcW w:type="dxa" w:w="1440"/>
          </w:tcPr>
          <w:p>
            <w:r>
              <w:rPr>
                <w:sz w:val="20"/>
              </w:rPr>
            </w:r>
          </w:p>
        </w:tc>
        <w:tc>
          <w:tcPr>
            <w:tcW w:type="dxa" w:w="5472"/>
          </w:tcPr>
          <w:p>
            <w:r>
              <w:rPr>
                <w:sz w:val="20"/>
              </w:rPr>
              <w:t>Co-PI - contract faculty member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$33,460</w:t>
            </w:r>
          </w:p>
        </w:tc>
      </w:tr>
      <w:tr>
        <w:tc>
          <w:tcPr>
            <w:tcW w:type="dxa" w:w="864"/>
          </w:tcPr>
          <w:p>
            <w:r>
              <w:rPr>
                <w:sz w:val="20"/>
              </w:rPr>
              <w:t>1 Graduate 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$126,289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ion exchange and membrane separation devices, absorbents, photocatalysts, and supplies for algae cultivation</w:t>
            </w:r>
          </w:p>
        </w:tc>
        <w:tc>
          <w:tcPr>
            <w:tcW w:type="dxa" w:w="4032"/>
          </w:tcPr>
          <w:p>
            <w:r>
              <w:rPr>
                <w:sz w:val="20"/>
              </w:rPr>
              <w:t>For setting up experimental devices and conducting experiments in labs.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$10,243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9 one-day 2-person trips, 100 miles each round trip ($0.56/mile), meals @$49/person</w:t>
            </w:r>
          </w:p>
        </w:tc>
        <w:tc>
          <w:tcPr>
            <w:tcW w:type="dxa" w:w="4032"/>
          </w:tcPr>
          <w:p>
            <w:r>
              <w:rPr>
                <w:sz w:val="20"/>
              </w:rPr>
              <w:t>Travel to landfill sites to collect samples and conduct on-site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for Submission</w:t>
            </w:r>
          </w:p>
        </w:tc>
        <w:tc>
          <w:tcPr>
            <w:tcW w:type="dxa" w:w="5400"/>
          </w:tcPr>
          <w:p>
            <w:r>
              <w:rPr>
                <w:sz w:val="20"/>
              </w:rPr>
            </w:r>
            <w:r>
              <w:rPr>
                <w:color w:val="000000" w:themeColor="hyperlink"/>
                <w:sz w:val="20"/>
                <w:u w:val="single"/>
              </w:rPr>
              <w:hyperlink r:id="rId17">
                <w:r>
                  <w:rPr/>
                  <w:t>b68c5140-c24.pdf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51703b83-b14.pdf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b68c5140-c24.pdf" TargetMode="External"/><Relationship Id="rId18" Type="http://schemas.openxmlformats.org/officeDocument/2006/relationships/hyperlink" Target="https://lccmrprojectmgmt.leg.mn/media/attachments/51703b83-b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Destruct per/polyfluoroalkyl substances (PFAS) in landfill leachates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