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2021-446</w:t>
      </w:r>
    </w:p>
    <w:p>
      <w:r>
        <w:rPr>
          <w:b/>
        </w:rPr>
        <w:t xml:space="preserve">Proposal Title: </w:t>
      </w:r>
      <w:r>
        <w:t>Turning Back to Rivers: Environmental and Recreational Protection</w:t>
      </w:r>
    </w:p>
    <w:p/>
    <w:p>
      <w:pPr>
        <w:pStyle w:val="Heading2"/>
        <w:spacing w:before="0" w:after="80"/>
      </w:pPr>
      <w:r>
        <w:rPr>
          <w:b/>
          <w:color w:val="2C559C"/>
          <w:sz w:val="28"/>
        </w:rPr>
        <w:t>Project Manager Information</w:t>
      </w:r>
    </w:p>
    <w:p>
      <w:r>
        <w:rPr>
          <w:b/>
        </w:rPr>
        <w:t xml:space="preserve">Name: </w:t>
      </w:r>
      <w:r>
        <w:t>DJ Forbes</w:t>
      </w:r>
    </w:p>
    <w:p>
      <w:r>
        <w:rPr>
          <w:b/>
        </w:rPr>
        <w:t xml:space="preserve">Organization: </w:t>
      </w:r>
      <w:r>
        <w:t>The Trust for Public Land</w:t>
      </w:r>
    </w:p>
    <w:p>
      <w:r>
        <w:rPr>
          <w:b/>
        </w:rPr>
        <w:t xml:space="preserve">Office Telephone: </w:t>
      </w:r>
      <w:r>
        <w:t>(651) 999-5325</w:t>
      </w:r>
    </w:p>
    <w:p>
      <w:r>
        <w:rPr>
          <w:b/>
        </w:rPr>
        <w:t xml:space="preserve">Email: </w:t>
      </w:r>
      <w:r>
        <w:t>dj.forbes@tpl.org</w:t>
      </w:r>
    </w:p>
    <w:p/>
    <w:p>
      <w:pPr>
        <w:pStyle w:val="Heading2"/>
        <w:spacing w:before="0" w:after="80"/>
      </w:pPr>
      <w:r>
        <w:rPr>
          <w:b/>
          <w:color w:val="2C559C"/>
          <w:sz w:val="28"/>
        </w:rPr>
        <w:t>Project Basic Information</w:t>
      </w:r>
    </w:p>
    <w:p>
      <w:r>
        <w:rPr>
          <w:b/>
        </w:rPr>
        <w:t xml:space="preserve">Project Summary: </w:t>
      </w:r>
      <w:r>
        <w:t>This project will help communities acquire priority land along the Mississippi, St. Croix, and Minnesota Rivers, and their tributaries, protecting the environment and water quality while creating much-needed recreational opportunities.</w:t>
      </w:r>
    </w:p>
    <w:p>
      <w:r>
        <w:rPr>
          <w:b/>
        </w:rPr>
        <w:t xml:space="preserve">Funds Requested: </w:t>
      </w:r>
      <w:r>
        <w:t>$3,804,000</w:t>
      </w:r>
    </w:p>
    <w:p>
      <w:r>
        <w:rPr>
          <w:b/>
        </w:rPr>
        <w:t xml:space="preserve">Proposed Project Completion: </w:t>
      </w:r>
      <w:r>
        <w:t>2024-06-30</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Thousands of Minnesotans live within mere miles of the state’s iconic Mississippi, St. Croix, and Minnesota Rivers, and their major tributaries, and cannot access and enjoy the rivers or the land adjacent to them. In the Land of 10,000 Lakes, our rivers are under-valued and increasingly inaccessible natural assets. Historically, these rivers have been predominately used for industry and commerce, and then dumping and waste. Communities viewed these natural amenities as opportunities for commercial development rather than spaces for the public to enjoy. Reality has thankfully shifted. Communities throughout the state now understand the environmental and recreational benefits their rivers offer as nearby natural assets ripe for protection and public enjoyment. Communities are eager to partner to protect these dynamic riverside assets.  </w:t>
        <w:br/>
        <w:br/>
        <w:t>These communities have created plans and identified and prioritized opportunities for the protection of public open space, but they lack funding, capacity, and the real estate know-how to effectively achieve their goals. TPL brings expertise in complex real estate transactions, and we have the proficiencies needed to help communities efficiently solve their specific natural resource needs.</w:t>
      </w:r>
    </w:p>
    <w:p>
      <w:pPr>
        <w:spacing w:after="60"/>
      </w:pPr>
      <w:r>
        <w:rPr>
          <w:b/>
        </w:rPr>
        <w:t>What is your proposed solution to the problem or opportunity discussed above? i.e. What are you seeking funding to do? You will be asked to expand on this in Activities and Milestones.</w:t>
      </w:r>
    </w:p>
    <w:p>
      <w:r>
        <w:t xml:space="preserve">Working hand in hand with river communities, The Trust for Public Land (TPL) will protect land through fee title acquisition and increase access on and near Minnesota’s great rivers. Our partnership is based on existing local area plans and we will protect approximately 400 acres of high priority, high quality natural resource land: lands with high recreational value, lands that address access gaps, lands that maximize scenic and habitat benefits, and lands that help to protect from high water and flooding. </w:t>
        <w:br/>
        <w:br/>
        <w:t>By permanently protecting these lands, multiple benefits are achieved:</w:t>
        <w:br/>
        <w:br/>
        <w:t>•</w:t>
        <w:tab/>
        <w:t xml:space="preserve">Protection of high quality natural resource land for community enjoyment, wildlife habitat, and water quality </w:t>
        <w:br/>
        <w:t>•</w:t>
        <w:tab/>
        <w:t>Resilience due to improved ecosystem connectivity of native animal and plant populations (including “Species in Greatest Conservation Need”) in the face of climate change and invasive species</w:t>
        <w:br/>
        <w:t>•</w:t>
        <w:tab/>
        <w:t>Increased access to various outdoor recreation opportunities along Minnesota’s rivers, improving the connection between people and Minnesota’s natural resources</w:t>
        <w:br/>
        <w:t>•</w:t>
        <w:tab/>
        <w:t>Additional buffers from high water and flooding</w:t>
        <w:br/>
        <w:br/>
        <w:t>Protecting these parcels for resource based recreational needs, addressing access gaps areas, and inspiring river-oriented communities is a demand that can be uniquely met by ENRTF/LCCMR funding.</w:t>
      </w:r>
    </w:p>
    <w:p>
      <w:pPr>
        <w:spacing w:after="60"/>
      </w:pPr>
      <w:r>
        <w:rPr>
          <w:b/>
        </w:rPr>
        <w:t xml:space="preserve">What are the specific project outcomes as they relate to the public purpose of protection, conservation, preservation, and enhancement of the state’s natural resources? </w:t>
      </w:r>
    </w:p>
    <w:p>
      <w:r>
        <w:t>In partnership with local and county government, we will protect approximately 400 acres through fee title acquisition of high priority, high quality natural resource land. These properties have been prioritized in state, regional, and local natural resource and recreation plans, reflecting strong community support. Our efforts will focus on river communities throughout the state by protecting land that they are excited to manage and that will provide multiple outdoor recreational opportunities. These lands are not eligible for other protection funding due in large part to hunting requirements.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Protect Strategic Lands: Fee-title acquisition of high priority lands along the Mississippi, St. Croix, and Minnesota Rivers, and their tributaries</w:t>
      </w:r>
    </w:p>
    <w:p>
      <w:r>
        <w:rPr>
          <w:b/>
        </w:rPr>
        <w:t xml:space="preserve">Activity Budget: </w:t>
      </w:r>
      <w:r>
        <w:t>$3,804,000</w:t>
      </w:r>
    </w:p>
    <w:p>
      <w:r>
        <w:rPr>
          <w:b/>
        </w:rPr>
        <w:t xml:space="preserve">Activity Description: </w:t>
        <w:br/>
      </w:r>
      <w:r>
        <w:t>Eligible parcels (see attached acquisition parcel list) have been identified by communities in local plans as priorities for recreational value, high quality natural resources, lands that address access gaps, scenic qualities, and/or water protection. Not all parcels can be protected at the same time. Prioritization factors include adjacency to already protected land; landowner willingness to sell for conservation purposes; final local decision making on protection; and other due diligence. TPL will conduct all due diligence activities including appraisals, environmental reviews, title investigations, and survey work. Acquired land will be conveyed to our public agency partner (local units of government or MN DNR) for long-term stewardship, maintenance, and if called for, park and trail development. An example is:</w:t>
        <w:br/>
        <w:br/>
        <w:t>•</w:t>
        <w:tab/>
        <w:t>Cottage Grove Kiln/Mississippi River: Adjacent to city-owned Settlers Island, Urmann Ries site, and Moores Park, the acquisition of this parcel would add to the river access trail vision planned by the National Park Service and the City of Cottage Grove. This site will provide community access to the river for educational and recreational opportunities, and includes the historic Grey Cloud Lime Kiln, which is on the National Register of Historic Places. This is a high priority for Cottage Grove.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Protect approximately 400 acres for public use and enjoyment through fee-title acquisition</w:t>
            </w:r>
          </w:p>
        </w:tc>
        <w:tc>
          <w:tcPr>
            <w:tcW w:type="dxa" w:w="1440"/>
          </w:tcPr>
          <w:p>
            <w:pPr>
              <w:jc w:val="right"/>
            </w:pPr>
            <w:r>
              <w:rPr>
                <w:sz w:val="20"/>
              </w:rPr>
              <w:t>2024-06-30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Strengthening the connection between land and people is vital in ensuring the long-term stewardship of Minnesota’s natural resources. We view this proposal as a long-term strategy, and will continue its work as long as critical habitat and natural resources based recreation opportunities remain unprotected and in danger of degradation and loss. Land protection is not the final step in helping communities turn back to rivers; however, it is a critical step needed before long-term restoration, stewardship, and programming of these riverfront areas can take place. These activities will be led and funded by the long-term steward of the resource.</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Metro Conservation Corridors Phase VIII - Strategic Lands Protection</w:t>
            </w:r>
          </w:p>
        </w:tc>
        <w:tc>
          <w:tcPr>
            <w:tcW w:type="dxa" w:w="4680"/>
          </w:tcPr>
          <w:p>
            <w:r>
              <w:rPr>
                <w:sz w:val="20"/>
              </w:rPr>
              <w:t>M.L. 2015, Chp. 76, Sec. 2, Subd. 09f</w:t>
            </w:r>
          </w:p>
        </w:tc>
        <w:tc>
          <w:tcPr>
            <w:tcW w:type="dxa" w:w="1440"/>
          </w:tcPr>
          <w:p>
            <w:pPr>
              <w:jc w:val="right"/>
            </w:pPr>
            <w:r>
              <w:rPr>
                <w:sz w:val="20"/>
              </w:rPr>
              <w:t>$750,000</w:t>
            </w:r>
          </w:p>
        </w:tc>
      </w:tr>
    </w:tbl>
    <w:p/>
    <w:p>
      <w:pPr>
        <w:pStyle w:val="Heading2"/>
        <w:spacing w:before="0" w:after="80"/>
      </w:pPr>
      <w:r>
        <w:rPr>
          <w:b/>
          <w:color w:val="2C559C"/>
          <w:sz w:val="28"/>
        </w:rPr>
        <w:t>Project Manager and Organization Qualifications</w:t>
      </w:r>
    </w:p>
    <w:p>
      <w:r>
        <w:rPr>
          <w:b/>
        </w:rPr>
        <w:t xml:space="preserve">Project Manager Name: </w:t>
      </w:r>
      <w:r>
        <w:t>DJ Forbes</w:t>
      </w:r>
    </w:p>
    <w:p>
      <w:r>
        <w:rPr>
          <w:b/>
        </w:rPr>
        <w:t xml:space="preserve">Job Title: </w:t>
      </w:r>
      <w:r>
        <w:t>Project Manager</w:t>
      </w:r>
    </w:p>
    <w:p>
      <w:r>
        <w:rPr>
          <w:b/>
        </w:rPr>
        <w:t xml:space="preserve">Provide description of the project manager’s qualifications to manage the proposed project. </w:t>
        <w:br/>
      </w:r>
      <w:r>
        <w:t>Below are brief biographies of The Trust for Public Land staff which are anticipated to be involved with this project.</w:t>
        <w:br/>
        <w:br/>
        <w:t>This project will be managed by DJ Forbes, Project Manager, The Trust for Public Land. DJ has been with TPL for five years and supports multiple TPL initiatives; helping to create parks and protect land for people in both urban and rural areas. DJ manages all aspects of real estate transactions including initial research and outreach; negotiating contracts; advocating for and securing financing; and coordinating due diligence work. Prior to his work at TPL, DJ was a Senior Planner for the Active Living program at Hennepin County. He also served as a Project Manager with the City of Chelsea Department of Planning and Development in Massachusetts. DJ has a MA in Urban and Environmental Policy and Planning from Tufts University and a BA in Geography and History from DePaul University.</w:t>
        <w:br/>
        <w:br/>
        <w:t>Bob McGillivray, Senior Project Manager, The Trust for Public Land. Bob has been with TPL for over fifteen years. He works directly with landowners, public agency partners, and community members to protect land throughout the state of Minnesota for public use and enjoyment. He manages all aspects of real estate transactions including conducting property research; negotiating contracts; advocating for and securing financing; and coordinating due diligence activities. Prior to joining TPL, Bob was a partner at the law firm of Oppenheimer Wolff &amp; Donnelly with a broad commercial practice. He also served as a law clerk for the Honorable Edward J. Devitt, United States District Court Judge; a Special Assistant Attorney General with the Minnesota Attorney General’s Office; and a legal intern with the United Nations and the United States Attorney’s Office for the Southern District of New York.</w:t>
      </w:r>
    </w:p>
    <w:p>
      <w:r>
        <w:rPr>
          <w:b/>
        </w:rPr>
        <w:t xml:space="preserve">Organization: </w:t>
      </w:r>
      <w:r>
        <w:t>The Trust for Public Land</w:t>
      </w:r>
    </w:p>
    <w:p>
      <w:r>
        <w:rPr>
          <w:b/>
        </w:rPr>
        <w:t xml:space="preserve">Organization Description: </w:t>
        <w:br/>
      </w:r>
      <w:r>
        <w:t>Since 1972, The Trust for Public Land (TPL) has protected more than 3.5 million acres, created or transformed 5,000 new public places across America, forged hundreds of active partnerships, and developed more than 2,000 miles of trails across the U.S. TPL has also helped states and local communities generate more than $68 billion in new public funds for parks and open space.</w:t>
        <w:br/>
        <w:br/>
        <w:t>Our strategic focus on improving outdoor access reflects learning from more than forty years protecting public land to advance our “Land for People” mission. We have heard from communities across America that access to the outdoors is central to a life well-lived, something that should be treated as a basic human right. It is well-documented that there are many other benefits communities gain from America’s lands and waters beyond just recreational access—benefits like clean water, forestry and farming, economic diversity through outdoor businesses, improved mental and physical health, stronger community ties, and spiritual inspiration. Both public and private land conservation can truly be a “triple-bottom line” investment, providing social, economic and environmental benefits for our country.</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Land Protection Staff</w:t>
            </w:r>
          </w:p>
        </w:tc>
        <w:tc>
          <w:tcPr>
            <w:tcW w:type="dxa" w:w="1440"/>
          </w:tcPr>
          <w:p>
            <w:r>
              <w:rPr>
                <w:sz w:val="20"/>
              </w:rPr>
            </w:r>
          </w:p>
        </w:tc>
        <w:tc>
          <w:tcPr>
            <w:tcW w:type="dxa" w:w="5472"/>
          </w:tcPr>
          <w:p>
            <w:r>
              <w:rPr>
                <w:sz w:val="20"/>
              </w:rPr>
              <w:t>Land Protection Staff</w:t>
            </w:r>
          </w:p>
        </w:tc>
        <w:tc>
          <w:tcPr>
            <w:tcW w:type="dxa" w:w="4032"/>
          </w:tcPr>
          <w:p>
            <w:r>
              <w:rPr>
                <w:sz w:val="20"/>
              </w:rPr>
            </w:r>
          </w:p>
        </w:tc>
        <w:tc>
          <w:tcPr>
            <w:tcW w:type="dxa" w:w="360"/>
          </w:tcPr>
          <w:p>
            <w:r>
              <w:rPr>
                <w:sz w:val="20"/>
              </w:rPr>
            </w:r>
          </w:p>
        </w:tc>
        <w:tc>
          <w:tcPr>
            <w:tcW w:type="dxa" w:w="360"/>
          </w:tcPr>
          <w:p>
            <w:pPr>
              <w:jc w:val="right"/>
            </w:pPr>
            <w:r>
              <w:rPr>
                <w:sz w:val="20"/>
              </w:rPr>
              <w:t>32%</w:t>
            </w:r>
          </w:p>
        </w:tc>
        <w:tc>
          <w:tcPr>
            <w:tcW w:type="dxa" w:w="360"/>
          </w:tcPr>
          <w:p>
            <w:pPr>
              <w:jc w:val="right"/>
            </w:pPr>
            <w:r>
              <w:rPr>
                <w:sz w:val="20"/>
              </w:rPr>
              <w:t>0.96</w:t>
            </w:r>
          </w:p>
        </w:tc>
        <w:tc>
          <w:tcPr>
            <w:tcW w:type="dxa" w:w="360"/>
          </w:tcPr>
          <w:p>
            <w:r>
              <w:rPr>
                <w:sz w:val="20"/>
              </w:rPr>
            </w:r>
          </w:p>
        </w:tc>
        <w:tc>
          <w:tcPr>
            <w:tcW w:type="dxa" w:w="1152"/>
          </w:tcPr>
          <w:p>
            <w:pPr>
              <w:jc w:val="right"/>
            </w:pPr>
            <w:r>
              <w:rPr>
                <w:sz w:val="20"/>
              </w:rPr>
              <w:t>$162,000</w:t>
            </w:r>
          </w:p>
        </w:tc>
      </w:tr>
      <w:tr>
        <w:tc>
          <w:tcPr>
            <w:tcW w:type="dxa" w:w="864"/>
          </w:tcPr>
          <w:p>
            <w:r>
              <w:rPr>
                <w:sz w:val="20"/>
              </w:rPr>
              <w:t>Legal Staff</w:t>
            </w:r>
          </w:p>
        </w:tc>
        <w:tc>
          <w:tcPr>
            <w:tcW w:type="dxa" w:w="1440"/>
          </w:tcPr>
          <w:p>
            <w:r>
              <w:rPr>
                <w:sz w:val="20"/>
              </w:rPr>
            </w:r>
          </w:p>
        </w:tc>
        <w:tc>
          <w:tcPr>
            <w:tcW w:type="dxa" w:w="5472"/>
          </w:tcPr>
          <w:p>
            <w:r>
              <w:rPr>
                <w:sz w:val="20"/>
              </w:rPr>
              <w:t>Legal Staff</w:t>
            </w:r>
          </w:p>
        </w:tc>
        <w:tc>
          <w:tcPr>
            <w:tcW w:type="dxa" w:w="4032"/>
          </w:tcPr>
          <w:p>
            <w:r>
              <w:rPr>
                <w:sz w:val="20"/>
              </w:rPr>
            </w:r>
          </w:p>
        </w:tc>
        <w:tc>
          <w:tcPr>
            <w:tcW w:type="dxa" w:w="360"/>
          </w:tcPr>
          <w:p>
            <w:r>
              <w:rPr>
                <w:sz w:val="20"/>
              </w:rPr>
            </w:r>
          </w:p>
        </w:tc>
        <w:tc>
          <w:tcPr>
            <w:tcW w:type="dxa" w:w="360"/>
          </w:tcPr>
          <w:p>
            <w:pPr>
              <w:jc w:val="right"/>
            </w:pPr>
            <w:r>
              <w:rPr>
                <w:sz w:val="20"/>
              </w:rPr>
              <w:t>32%</w:t>
            </w:r>
          </w:p>
        </w:tc>
        <w:tc>
          <w:tcPr>
            <w:tcW w:type="dxa" w:w="360"/>
          </w:tcPr>
          <w:p>
            <w:pPr>
              <w:jc w:val="right"/>
            </w:pPr>
            <w:r>
              <w:rPr>
                <w:sz w:val="20"/>
              </w:rPr>
              <w:t>0.12</w:t>
            </w:r>
          </w:p>
        </w:tc>
        <w:tc>
          <w:tcPr>
            <w:tcW w:type="dxa" w:w="360"/>
          </w:tcPr>
          <w:p>
            <w:r>
              <w:rPr>
                <w:sz w:val="20"/>
              </w:rPr>
            </w:r>
          </w:p>
        </w:tc>
        <w:tc>
          <w:tcPr>
            <w:tcW w:type="dxa" w:w="1152"/>
          </w:tcPr>
          <w:p>
            <w:pPr>
              <w:jc w:val="right"/>
            </w:pPr>
            <w:r>
              <w:rPr>
                <w:sz w:val="20"/>
              </w:rPr>
              <w:t>$18,000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Acquisition costs</w:t>
            </w:r>
          </w:p>
        </w:tc>
        <w:tc>
          <w:tcPr>
            <w:tcW w:type="dxa" w:w="5472"/>
          </w:tcPr>
          <w:p>
            <w:r>
              <w:rPr>
                <w:sz w:val="20"/>
              </w:rPr>
              <w:t>Professional services for fee-title acquisition. For example, appraisals, environmental assessments, surveys, etc. Our professional services budget is based on the assumption that we will close 5 transactions and investigate 3 others.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$122,500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$122,500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Fee Title Acquisition</w:t>
            </w:r>
          </w:p>
        </w:tc>
        <w:tc>
          <w:tcPr>
            <w:tcW w:type="dxa" w:w="5472"/>
          </w:tcPr>
          <w:p>
            <w:r>
              <w:rPr>
                <w:sz w:val="20"/>
              </w:rPr>
              <w:t xml:space="preserve"> Acres: 400  Parcels: 5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$3,391,500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$3,391,500</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Initial Development Costs</w:t>
            </w:r>
          </w:p>
        </w:tc>
        <w:tc>
          <w:tcPr>
            <w:tcW w:type="dxa" w:w="4032"/>
          </w:tcPr>
          <w:p>
            <w:r>
              <w:rPr>
                <w:sz w:val="20"/>
              </w:rPr>
              <w:t>Initial site preparation costs; for example, signage, parking lots, fencing, 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$90,000</w:t>
            </w:r>
          </w:p>
        </w:tc>
      </w:tr>
      <w:tr>
        <w:tc>
          <w:tcPr>
            <w:tcW w:type="dxa" w:w="864"/>
          </w:tcPr>
          <w:p>
            <w:r>
              <w:rPr>
                <w:sz w:val="20"/>
              </w:rPr>
            </w:r>
          </w:p>
        </w:tc>
        <w:tc>
          <w:tcPr>
            <w:tcW w:type="dxa" w:w="1440"/>
          </w:tcPr>
          <w:p>
            <w:r>
              <w:rPr>
                <w:sz w:val="20"/>
              </w:rPr>
            </w:r>
          </w:p>
        </w:tc>
        <w:tc>
          <w:tcPr>
            <w:tcW w:type="dxa" w:w="5472"/>
          </w:tcPr>
          <w:p>
            <w:r>
              <w:rPr>
                <w:sz w:val="20"/>
              </w:rPr>
              <w:t>DNR Land Acquisition Costs</w:t>
            </w:r>
          </w:p>
        </w:tc>
        <w:tc>
          <w:tcPr>
            <w:tcW w:type="dxa" w:w="4032"/>
          </w:tcPr>
          <w:p>
            <w:r>
              <w:rPr>
                <w:sz w:val="20"/>
              </w:rPr>
              <w:t>For transactions where the DNR will be the long-term steward, monies are for DNR Lands &amp; Minerals staff for real estate review costs.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$110,000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$3,804,000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Local Match</w:t>
            </w:r>
          </w:p>
        </w:tc>
        <w:tc>
          <w:tcPr>
            <w:tcW w:type="dxa" w:w="6120"/>
          </w:tcPr>
          <w:p>
            <w:r>
              <w:rPr>
                <w:sz w:val="20"/>
              </w:rPr>
              <w:t>Includes land acquisition capital, initial development costs, operation and maintenance, and in-kind staff time.</w:t>
            </w:r>
          </w:p>
        </w:tc>
        <w:tc>
          <w:tcPr>
            <w:tcW w:type="dxa" w:w="1080"/>
          </w:tcPr>
          <w:p>
            <w:r>
              <w:rPr>
                <w:sz w:val="20"/>
              </w:rPr>
              <w:t>Pending</w:t>
            </w:r>
          </w:p>
        </w:tc>
        <w:tc>
          <w:tcPr>
            <w:tcW w:type="dxa" w:w="1440"/>
          </w:tcPr>
          <w:p>
            <w:pPr>
              <w:jc w:val="right"/>
            </w:pPr>
            <w:r>
              <w:rPr>
                <w:sz w:val="20"/>
              </w:rPr>
              <w:t>$500,000</w:t>
            </w:r>
          </w:p>
        </w:tc>
      </w:tr>
      <w:tr>
        <w:tc>
          <w:tcPr>
            <w:tcW w:type="dxa" w:w="1080"/>
          </w:tcPr>
          <w:p>
            <w:r>
              <w:rPr>
                <w:sz w:val="20"/>
              </w:rPr>
              <w:t>Cash</w:t>
            </w:r>
          </w:p>
        </w:tc>
        <w:tc>
          <w:tcPr>
            <w:tcW w:type="dxa" w:w="4680"/>
          </w:tcPr>
          <w:p>
            <w:r>
              <w:rPr>
                <w:sz w:val="20"/>
              </w:rPr>
              <w:t>The Trust for Public Land will fundraise private funds to cover the necessary indirect costs and travel costs related to this project.</w:t>
            </w:r>
          </w:p>
        </w:tc>
        <w:tc>
          <w:tcPr>
            <w:tcW w:type="dxa" w:w="6120"/>
          </w:tcPr>
          <w:p>
            <w:r>
              <w:rPr>
                <w:sz w:val="20"/>
              </w:rPr>
              <w:t>The Trust for Public Land will fundraise private funds to cover the necessary indirect costs and travel costs related to this project.</w:t>
            </w:r>
          </w:p>
        </w:tc>
        <w:tc>
          <w:tcPr>
            <w:tcW w:type="dxa" w:w="1080"/>
          </w:tcPr>
          <w:p>
            <w:r>
              <w:rPr>
                <w:sz w:val="20"/>
              </w:rPr>
              <w:t>Secured</w:t>
            </w:r>
          </w:p>
        </w:tc>
        <w:tc>
          <w:tcPr>
            <w:tcW w:type="dxa" w:w="1440"/>
          </w:tcPr>
          <w:p>
            <w:pPr>
              <w:jc w:val="right"/>
            </w:pPr>
            <w:r>
              <w:rPr>
                <w:sz w:val="20"/>
              </w:rPr>
              <w:t>$128,400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$628,400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$628,400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Brainerd/Mississippi River</w:t>
            </w:r>
          </w:p>
        </w:tc>
        <w:tc>
          <w:tcPr>
            <w:tcW w:type="dxa" w:w="1440"/>
          </w:tcPr>
          <w:p>
            <w:r>
              <w:rPr>
                <w:sz w:val="20"/>
              </w:rPr>
              <w:t>Crow Wing</w:t>
            </w:r>
          </w:p>
        </w:tc>
        <w:tc>
          <w:tcPr>
            <w:tcW w:type="dxa" w:w="3888"/>
          </w:tcPr>
          <w:p>
            <w:r>
              <w:rPr>
                <w:sz w:val="20"/>
              </w:rPr>
              <w:t>Located within the heart of Brainerd, acquisition of these parcels would allow the City to create a park and access the river.</w:t>
            </w:r>
          </w:p>
        </w:tc>
        <w:tc>
          <w:tcPr>
            <w:tcW w:type="dxa" w:w="1080"/>
          </w:tcPr>
          <w:p>
            <w:r>
              <w:rPr>
                <w:sz w:val="20"/>
              </w:rPr>
              <w:t>Fee Title</w:t>
            </w:r>
          </w:p>
        </w:tc>
        <w:tc>
          <w:tcPr>
            <w:tcW w:type="dxa" w:w="432"/>
          </w:tcPr>
          <w:p>
            <w:pPr>
              <w:jc w:val="right"/>
            </w:pPr>
            <w:r>
              <w:rPr>
                <w:sz w:val="20"/>
              </w:rPr>
              <w:t>3.2</w:t>
            </w:r>
          </w:p>
        </w:tc>
        <w:tc>
          <w:tcPr>
            <w:tcW w:type="dxa" w:w="432"/>
          </w:tcPr>
          <w:p>
            <w:pPr>
              <w:jc w:val="right"/>
            </w:pPr>
            <w:r>
              <w:rPr>
                <w:sz w:val="20"/>
              </w:rPr>
              <w:t>0.1</w:t>
            </w:r>
          </w:p>
        </w:tc>
        <w:tc>
          <w:tcPr>
            <w:tcW w:type="dxa" w:w="1080"/>
          </w:tcPr>
          <w:p>
            <w:pPr>
              <w:jc w:val="right"/>
            </w:pPr>
            <w:r>
              <w:rPr>
                <w:sz w:val="20"/>
              </w:rPr>
              <w:t>$254,000</w:t>
            </w:r>
          </w:p>
        </w:tc>
        <w:tc>
          <w:tcPr>
            <w:tcW w:type="dxa" w:w="1080"/>
          </w:tcPr>
          <w:p>
            <w:r>
              <w:rPr>
                <w:sz w:val="20"/>
              </w:rPr>
              <w:t>Private</w:t>
            </w:r>
          </w:p>
        </w:tc>
        <w:tc>
          <w:tcPr>
            <w:tcW w:type="dxa" w:w="1728"/>
          </w:tcPr>
          <w:p>
            <w:r>
              <w:rPr>
                <w:sz w:val="20"/>
              </w:rPr>
              <w:t>City of Brainerd</w:t>
            </w:r>
          </w:p>
        </w:tc>
        <w:tc>
          <w:tcPr>
            <w:tcW w:type="dxa" w:w="1080"/>
          </w:tcPr>
          <w:p>
            <w:r>
              <w:rPr>
                <w:sz w:val="20"/>
              </w:rPr>
              <w:t>Has not begun</w:t>
            </w:r>
          </w:p>
        </w:tc>
      </w:tr>
      <w:tr>
        <w:tc>
          <w:tcPr>
            <w:tcW w:type="dxa" w:w="2160"/>
          </w:tcPr>
          <w:p>
            <w:r>
              <w:rPr>
                <w:sz w:val="20"/>
              </w:rPr>
              <w:t>Byllesby Park/Cannon River</w:t>
            </w:r>
          </w:p>
        </w:tc>
        <w:tc>
          <w:tcPr>
            <w:tcW w:type="dxa" w:w="1440"/>
          </w:tcPr>
          <w:p>
            <w:r>
              <w:rPr>
                <w:sz w:val="20"/>
              </w:rPr>
              <w:t>Goodhue</w:t>
            </w:r>
          </w:p>
        </w:tc>
        <w:tc>
          <w:tcPr>
            <w:tcW w:type="dxa" w:w="3888"/>
          </w:tcPr>
          <w:p>
            <w:r>
              <w:rPr>
                <w:sz w:val="20"/>
              </w:rPr>
              <w:t>Located between the main park area and the upper park area, acquisition of these parcels would provide additional riverside protection and access, and nearly double the size of this unique recreational area located on the Cannon River at Lake Byllesby. This is a high priority for Goodhue County.</w:t>
            </w:r>
          </w:p>
        </w:tc>
        <w:tc>
          <w:tcPr>
            <w:tcW w:type="dxa" w:w="1080"/>
          </w:tcPr>
          <w:p>
            <w:r>
              <w:rPr>
                <w:sz w:val="20"/>
              </w:rPr>
              <w:t>Fee Title</w:t>
            </w:r>
          </w:p>
        </w:tc>
        <w:tc>
          <w:tcPr>
            <w:tcW w:type="dxa" w:w="432"/>
          </w:tcPr>
          <w:p>
            <w:pPr>
              <w:jc w:val="right"/>
            </w:pPr>
            <w:r>
              <w:rPr>
                <w:sz w:val="20"/>
              </w:rPr>
              <w:t>117</w:t>
            </w:r>
          </w:p>
        </w:tc>
        <w:tc>
          <w:tcPr>
            <w:tcW w:type="dxa" w:w="432"/>
          </w:tcPr>
          <w:p>
            <w:pPr>
              <w:jc w:val="right"/>
            </w:pPr>
            <w:r>
              <w:rPr>
                <w:sz w:val="20"/>
              </w:rPr>
              <w:t>1</w:t>
            </w:r>
          </w:p>
        </w:tc>
        <w:tc>
          <w:tcPr>
            <w:tcW w:type="dxa" w:w="1080"/>
          </w:tcPr>
          <w:p>
            <w:pPr>
              <w:jc w:val="right"/>
            </w:pPr>
            <w:r>
              <w:rPr>
                <w:sz w:val="20"/>
              </w:rPr>
              <w:t>$600,000</w:t>
            </w:r>
          </w:p>
        </w:tc>
        <w:tc>
          <w:tcPr>
            <w:tcW w:type="dxa" w:w="1080"/>
          </w:tcPr>
          <w:p>
            <w:r>
              <w:rPr>
                <w:sz w:val="20"/>
              </w:rPr>
              <w:t>Private</w:t>
            </w:r>
          </w:p>
        </w:tc>
        <w:tc>
          <w:tcPr>
            <w:tcW w:type="dxa" w:w="1728"/>
          </w:tcPr>
          <w:p>
            <w:r>
              <w:rPr>
                <w:sz w:val="20"/>
              </w:rPr>
              <w:t>Goodhue County</w:t>
            </w:r>
          </w:p>
        </w:tc>
        <w:tc>
          <w:tcPr>
            <w:tcW w:type="dxa" w:w="1080"/>
          </w:tcPr>
          <w:p>
            <w:r>
              <w:rPr>
                <w:sz w:val="20"/>
              </w:rPr>
              <w:t>Has not begun</w:t>
            </w:r>
          </w:p>
        </w:tc>
      </w:tr>
      <w:tr>
        <w:tc>
          <w:tcPr>
            <w:tcW w:type="dxa" w:w="2160"/>
          </w:tcPr>
          <w:p>
            <w:r>
              <w:rPr>
                <w:sz w:val="20"/>
              </w:rPr>
              <w:t>Caron Park/Prairie Creek</w:t>
            </w:r>
          </w:p>
        </w:tc>
        <w:tc>
          <w:tcPr>
            <w:tcW w:type="dxa" w:w="1440"/>
          </w:tcPr>
          <w:p>
            <w:r>
              <w:rPr>
                <w:sz w:val="20"/>
              </w:rPr>
              <w:t>Rice</w:t>
            </w:r>
          </w:p>
        </w:tc>
        <w:tc>
          <w:tcPr>
            <w:tcW w:type="dxa" w:w="3888"/>
          </w:tcPr>
          <w:p>
            <w:r>
              <w:rPr>
                <w:sz w:val="20"/>
              </w:rPr>
              <w:t>Located along Prairie Creek and abutting Caron Park, the acquisition of these parcels will provide additional acerage and access to this important Rice County park.</w:t>
            </w:r>
          </w:p>
        </w:tc>
        <w:tc>
          <w:tcPr>
            <w:tcW w:type="dxa" w:w="1080"/>
          </w:tcPr>
          <w:p>
            <w:r>
              <w:rPr>
                <w:sz w:val="20"/>
              </w:rPr>
              <w:t>Fee Title</w:t>
            </w:r>
          </w:p>
        </w:tc>
        <w:tc>
          <w:tcPr>
            <w:tcW w:type="dxa" w:w="432"/>
          </w:tcPr>
          <w:p>
            <w:pPr>
              <w:jc w:val="right"/>
            </w:pPr>
            <w:r>
              <w:rPr>
                <w:sz w:val="20"/>
              </w:rPr>
              <w:t>70</w:t>
            </w:r>
          </w:p>
        </w:tc>
        <w:tc>
          <w:tcPr>
            <w:tcW w:type="dxa" w:w="432"/>
          </w:tcPr>
          <w:p>
            <w:pPr>
              <w:jc w:val="right"/>
            </w:pPr>
            <w:r>
              <w:rPr>
                <w:sz w:val="20"/>
              </w:rPr>
              <w:t>0.1</w:t>
            </w:r>
          </w:p>
        </w:tc>
        <w:tc>
          <w:tcPr>
            <w:tcW w:type="dxa" w:w="1080"/>
          </w:tcPr>
          <w:p>
            <w:pPr>
              <w:jc w:val="right"/>
            </w:pPr>
            <w:r>
              <w:rPr>
                <w:sz w:val="20"/>
              </w:rPr>
              <w:t>$400,000</w:t>
            </w:r>
          </w:p>
        </w:tc>
        <w:tc>
          <w:tcPr>
            <w:tcW w:type="dxa" w:w="1080"/>
          </w:tcPr>
          <w:p>
            <w:r>
              <w:rPr>
                <w:sz w:val="20"/>
              </w:rPr>
              <w:t>Private</w:t>
            </w:r>
          </w:p>
        </w:tc>
        <w:tc>
          <w:tcPr>
            <w:tcW w:type="dxa" w:w="1728"/>
          </w:tcPr>
          <w:p>
            <w:r>
              <w:rPr>
                <w:sz w:val="20"/>
              </w:rPr>
              <w:t>Rice County</w:t>
            </w:r>
          </w:p>
        </w:tc>
        <w:tc>
          <w:tcPr>
            <w:tcW w:type="dxa" w:w="1080"/>
          </w:tcPr>
          <w:p>
            <w:r>
              <w:rPr>
                <w:sz w:val="20"/>
              </w:rPr>
              <w:t>Has not begun</w:t>
            </w:r>
          </w:p>
        </w:tc>
      </w:tr>
      <w:tr>
        <w:tc>
          <w:tcPr>
            <w:tcW w:type="dxa" w:w="2160"/>
          </w:tcPr>
          <w:p>
            <w:r>
              <w:rPr>
                <w:sz w:val="20"/>
              </w:rPr>
              <w:t>Chippewa County/Minnesota River</w:t>
            </w:r>
          </w:p>
        </w:tc>
        <w:tc>
          <w:tcPr>
            <w:tcW w:type="dxa" w:w="1440"/>
          </w:tcPr>
          <w:p>
            <w:r>
              <w:rPr>
                <w:sz w:val="20"/>
              </w:rPr>
              <w:t>Chippewa</w:t>
            </w:r>
          </w:p>
        </w:tc>
        <w:tc>
          <w:tcPr>
            <w:tcW w:type="dxa" w:w="3888"/>
          </w:tcPr>
          <w:p>
            <w:r>
              <w:rPr>
                <w:sz w:val="20"/>
              </w:rPr>
              <w:t>Increases access to Minnesota River, adjacent to County Property.</w:t>
            </w:r>
          </w:p>
        </w:tc>
        <w:tc>
          <w:tcPr>
            <w:tcW w:type="dxa" w:w="1080"/>
          </w:tcPr>
          <w:p>
            <w:r>
              <w:rPr>
                <w:sz w:val="20"/>
              </w:rPr>
              <w:t>Fee Title</w:t>
            </w:r>
          </w:p>
        </w:tc>
        <w:tc>
          <w:tcPr>
            <w:tcW w:type="dxa" w:w="432"/>
          </w:tcPr>
          <w:p>
            <w:pPr>
              <w:jc w:val="right"/>
            </w:pPr>
            <w:r>
              <w:rPr>
                <w:sz w:val="20"/>
              </w:rPr>
              <w:t>40</w:t>
            </w:r>
          </w:p>
        </w:tc>
        <w:tc>
          <w:tcPr>
            <w:tcW w:type="dxa" w:w="432"/>
          </w:tcPr>
          <w:p>
            <w:pPr>
              <w:jc w:val="right"/>
            </w:pPr>
            <w:r>
              <w:rPr>
                <w:sz w:val="20"/>
              </w:rPr>
              <w:t>1</w:t>
            </w:r>
          </w:p>
        </w:tc>
        <w:tc>
          <w:tcPr>
            <w:tcW w:type="dxa" w:w="1080"/>
          </w:tcPr>
          <w:p>
            <w:pPr>
              <w:jc w:val="right"/>
            </w:pPr>
            <w:r>
              <w:rPr>
                <w:sz w:val="20"/>
              </w:rPr>
              <w:t>$140,000</w:t>
            </w:r>
          </w:p>
        </w:tc>
        <w:tc>
          <w:tcPr>
            <w:tcW w:type="dxa" w:w="1080"/>
          </w:tcPr>
          <w:p>
            <w:r>
              <w:rPr>
                <w:sz w:val="20"/>
              </w:rPr>
              <w:t>Private</w:t>
            </w:r>
          </w:p>
        </w:tc>
        <w:tc>
          <w:tcPr>
            <w:tcW w:type="dxa" w:w="1728"/>
          </w:tcPr>
          <w:p>
            <w:r>
              <w:rPr>
                <w:sz w:val="20"/>
              </w:rPr>
              <w:t>Chippewa County or MN DNR</w:t>
            </w:r>
          </w:p>
        </w:tc>
        <w:tc>
          <w:tcPr>
            <w:tcW w:type="dxa" w:w="1080"/>
          </w:tcPr>
          <w:p>
            <w:r>
              <w:rPr>
                <w:sz w:val="20"/>
              </w:rPr>
              <w:t>Has not begun</w:t>
            </w:r>
          </w:p>
        </w:tc>
      </w:tr>
      <w:tr>
        <w:tc>
          <w:tcPr>
            <w:tcW w:type="dxa" w:w="2160"/>
          </w:tcPr>
          <w:p>
            <w:r>
              <w:rPr>
                <w:sz w:val="20"/>
              </w:rPr>
              <w:t>Cottage Grove Kiln/Mississippi River</w:t>
            </w:r>
          </w:p>
        </w:tc>
        <w:tc>
          <w:tcPr>
            <w:tcW w:type="dxa" w:w="1440"/>
          </w:tcPr>
          <w:p>
            <w:r>
              <w:rPr>
                <w:sz w:val="20"/>
              </w:rPr>
              <w:t>Washington</w:t>
            </w:r>
          </w:p>
        </w:tc>
        <w:tc>
          <w:tcPr>
            <w:tcW w:type="dxa" w:w="3888"/>
          </w:tcPr>
          <w:p>
            <w:r>
              <w:rPr>
                <w:sz w:val="20"/>
              </w:rPr>
              <w:t>Adjacent to city-owned Settlers Island, Urmann Ries site, and Moores Park, the acquisition of this parcel would add to the river access trail vision planned by the National Park Service and the City of Cottage Grove. This site is proposed to provide community access to the river for educational and recreational opportunities, and includes the historic Grey Cloud Lime Kiln, which is on the National Register of Historic Places. This is a high priority for Cottage Grove.</w:t>
            </w:r>
          </w:p>
        </w:tc>
        <w:tc>
          <w:tcPr>
            <w:tcW w:type="dxa" w:w="1080"/>
          </w:tcPr>
          <w:p>
            <w:r>
              <w:rPr>
                <w:sz w:val="20"/>
              </w:rPr>
              <w:t>Fee Title</w:t>
            </w:r>
          </w:p>
        </w:tc>
        <w:tc>
          <w:tcPr>
            <w:tcW w:type="dxa" w:w="432"/>
          </w:tcPr>
          <w:p>
            <w:pPr>
              <w:jc w:val="right"/>
            </w:pPr>
            <w:r>
              <w:rPr>
                <w:sz w:val="20"/>
              </w:rPr>
              <w:t>7.4</w:t>
            </w:r>
          </w:p>
        </w:tc>
        <w:tc>
          <w:tcPr>
            <w:tcW w:type="dxa" w:w="432"/>
          </w:tcPr>
          <w:p>
            <w:pPr>
              <w:jc w:val="right"/>
            </w:pPr>
            <w:r>
              <w:rPr>
                <w:sz w:val="20"/>
              </w:rPr>
              <w:t>0.2</w:t>
            </w:r>
          </w:p>
        </w:tc>
        <w:tc>
          <w:tcPr>
            <w:tcW w:type="dxa" w:w="1080"/>
          </w:tcPr>
          <w:p>
            <w:pPr>
              <w:jc w:val="right"/>
            </w:pPr>
            <w:r>
              <w:rPr>
                <w:sz w:val="20"/>
              </w:rPr>
              <w:t>$320,000</w:t>
            </w:r>
          </w:p>
        </w:tc>
        <w:tc>
          <w:tcPr>
            <w:tcW w:type="dxa" w:w="1080"/>
          </w:tcPr>
          <w:p>
            <w:r>
              <w:rPr>
                <w:sz w:val="20"/>
              </w:rPr>
              <w:t>Private</w:t>
            </w:r>
          </w:p>
        </w:tc>
        <w:tc>
          <w:tcPr>
            <w:tcW w:type="dxa" w:w="1728"/>
          </w:tcPr>
          <w:p>
            <w:r>
              <w:rPr>
                <w:sz w:val="20"/>
              </w:rPr>
              <w:t>City of Cottage Grove</w:t>
            </w:r>
          </w:p>
        </w:tc>
        <w:tc>
          <w:tcPr>
            <w:tcW w:type="dxa" w:w="1080"/>
          </w:tcPr>
          <w:p>
            <w:r>
              <w:rPr>
                <w:sz w:val="20"/>
              </w:rPr>
              <w:t>Has not begun</w:t>
            </w:r>
          </w:p>
        </w:tc>
      </w:tr>
      <w:tr>
        <w:tc>
          <w:tcPr>
            <w:tcW w:type="dxa" w:w="2160"/>
          </w:tcPr>
          <w:p>
            <w:r>
              <w:rPr>
                <w:sz w:val="20"/>
              </w:rPr>
              <w:t>Nielson Memorial Preserve/Zumbro River</w:t>
            </w:r>
          </w:p>
        </w:tc>
        <w:tc>
          <w:tcPr>
            <w:tcW w:type="dxa" w:w="1440"/>
          </w:tcPr>
          <w:p>
            <w:r>
              <w:rPr>
                <w:sz w:val="20"/>
              </w:rPr>
              <w:t>Goodhue</w:t>
            </w:r>
          </w:p>
        </w:tc>
        <w:tc>
          <w:tcPr>
            <w:tcW w:type="dxa" w:w="3888"/>
          </w:tcPr>
          <w:p>
            <w:r>
              <w:rPr>
                <w:sz w:val="20"/>
              </w:rPr>
              <w:t>Directly abutting the recently created Nielson Memorial Preserve, the protection of these parcels will provide access and additional acreage for this Big Woods refuge located on the North Fork of the Zumbro River.</w:t>
            </w:r>
          </w:p>
        </w:tc>
        <w:tc>
          <w:tcPr>
            <w:tcW w:type="dxa" w:w="1080"/>
          </w:tcPr>
          <w:p>
            <w:r>
              <w:rPr>
                <w:sz w:val="20"/>
              </w:rPr>
              <w:t>Fee Title</w:t>
            </w:r>
          </w:p>
        </w:tc>
        <w:tc>
          <w:tcPr>
            <w:tcW w:type="dxa" w:w="432"/>
          </w:tcPr>
          <w:p>
            <w:pPr>
              <w:jc w:val="right"/>
            </w:pPr>
            <w:r>
              <w:rPr>
                <w:sz w:val="20"/>
              </w:rPr>
              <w:t>105</w:t>
            </w:r>
          </w:p>
        </w:tc>
        <w:tc>
          <w:tcPr>
            <w:tcW w:type="dxa" w:w="432"/>
          </w:tcPr>
          <w:p>
            <w:pPr>
              <w:jc w:val="right"/>
            </w:pPr>
            <w:r>
              <w:rPr>
                <w:sz w:val="20"/>
              </w:rPr>
              <w:t>0</w:t>
            </w:r>
          </w:p>
        </w:tc>
        <w:tc>
          <w:tcPr>
            <w:tcW w:type="dxa" w:w="1080"/>
          </w:tcPr>
          <w:p>
            <w:pPr>
              <w:jc w:val="right"/>
            </w:pPr>
            <w:r>
              <w:rPr>
                <w:sz w:val="20"/>
              </w:rPr>
              <w:t>$450,000</w:t>
            </w:r>
          </w:p>
        </w:tc>
        <w:tc>
          <w:tcPr>
            <w:tcW w:type="dxa" w:w="1080"/>
          </w:tcPr>
          <w:p>
            <w:r>
              <w:rPr>
                <w:sz w:val="20"/>
              </w:rPr>
              <w:t>Private</w:t>
            </w:r>
          </w:p>
        </w:tc>
        <w:tc>
          <w:tcPr>
            <w:tcW w:type="dxa" w:w="1728"/>
          </w:tcPr>
          <w:p>
            <w:r>
              <w:rPr>
                <w:sz w:val="20"/>
              </w:rPr>
              <w:t>Goodhue County</w:t>
            </w:r>
          </w:p>
        </w:tc>
        <w:tc>
          <w:tcPr>
            <w:tcW w:type="dxa" w:w="1080"/>
          </w:tcPr>
          <w:p>
            <w:r>
              <w:rPr>
                <w:sz w:val="20"/>
              </w:rPr>
              <w:t>Has not begun</w:t>
            </w:r>
          </w:p>
        </w:tc>
      </w:tr>
      <w:tr>
        <w:tc>
          <w:tcPr>
            <w:tcW w:type="dxa" w:w="2160"/>
          </w:tcPr>
          <w:p>
            <w:r>
              <w:rPr>
                <w:sz w:val="20"/>
              </w:rPr>
              <w:t>Point Douglas/St. Croix River</w:t>
            </w:r>
          </w:p>
        </w:tc>
        <w:tc>
          <w:tcPr>
            <w:tcW w:type="dxa" w:w="1440"/>
          </w:tcPr>
          <w:p>
            <w:r>
              <w:rPr>
                <w:sz w:val="20"/>
              </w:rPr>
              <w:t>Washington</w:t>
            </w:r>
          </w:p>
        </w:tc>
        <w:tc>
          <w:tcPr>
            <w:tcW w:type="dxa" w:w="3888"/>
          </w:tcPr>
          <w:p>
            <w:r>
              <w:rPr>
                <w:sz w:val="20"/>
              </w:rPr>
              <w:t>Located on the St. Croix River between Carpenter Nature Center to the north and Point Douglas County Park to the south, the acquisition of this parcel would provide fee-title to a trail corridor (addition to St. Croix Valley Regional Trail) and would preserve remnants of mesic oak forest and additional riparian and upland habitat for a variety of wildlife and bird species of greatest conservation need.</w:t>
            </w:r>
          </w:p>
        </w:tc>
        <w:tc>
          <w:tcPr>
            <w:tcW w:type="dxa" w:w="1080"/>
          </w:tcPr>
          <w:p>
            <w:r>
              <w:rPr>
                <w:sz w:val="20"/>
              </w:rPr>
              <w:t>Fee Title</w:t>
            </w:r>
          </w:p>
        </w:tc>
        <w:tc>
          <w:tcPr>
            <w:tcW w:type="dxa" w:w="432"/>
          </w:tcPr>
          <w:p>
            <w:pPr>
              <w:jc w:val="right"/>
            </w:pPr>
            <w:r>
              <w:rPr>
                <w:sz w:val="20"/>
              </w:rPr>
              <w:t>41</w:t>
            </w:r>
          </w:p>
        </w:tc>
        <w:tc>
          <w:tcPr>
            <w:tcW w:type="dxa" w:w="432"/>
          </w:tcPr>
          <w:p>
            <w:pPr>
              <w:jc w:val="right"/>
            </w:pPr>
            <w:r>
              <w:rPr>
                <w:sz w:val="20"/>
              </w:rPr>
              <w:t>0.5</w:t>
            </w:r>
          </w:p>
        </w:tc>
        <w:tc>
          <w:tcPr>
            <w:tcW w:type="dxa" w:w="1080"/>
          </w:tcPr>
          <w:p>
            <w:pPr>
              <w:jc w:val="right"/>
            </w:pPr>
            <w:r>
              <w:rPr>
                <w:sz w:val="20"/>
              </w:rPr>
              <w:t>$835,900</w:t>
            </w:r>
          </w:p>
        </w:tc>
        <w:tc>
          <w:tcPr>
            <w:tcW w:type="dxa" w:w="1080"/>
          </w:tcPr>
          <w:p>
            <w:r>
              <w:rPr>
                <w:sz w:val="20"/>
              </w:rPr>
              <w:t>Private</w:t>
            </w:r>
          </w:p>
        </w:tc>
        <w:tc>
          <w:tcPr>
            <w:tcW w:type="dxa" w:w="1728"/>
          </w:tcPr>
          <w:p>
            <w:r>
              <w:rPr>
                <w:sz w:val="20"/>
              </w:rPr>
              <w:t>Washington County</w:t>
            </w:r>
          </w:p>
        </w:tc>
        <w:tc>
          <w:tcPr>
            <w:tcW w:type="dxa" w:w="1080"/>
          </w:tcPr>
          <w:p>
            <w:r>
              <w:rPr>
                <w:sz w:val="20"/>
              </w:rPr>
              <w:t>Has not begun</w:t>
            </w:r>
          </w:p>
        </w:tc>
      </w:tr>
      <w:tr>
        <w:tc>
          <w:tcPr>
            <w:tcW w:type="dxa" w:w="2160"/>
          </w:tcPr>
          <w:p>
            <w:r>
              <w:rPr>
                <w:sz w:val="20"/>
              </w:rPr>
              <w:t>St. Cloud/Mississippi River</w:t>
            </w:r>
          </w:p>
        </w:tc>
        <w:tc>
          <w:tcPr>
            <w:tcW w:type="dxa" w:w="1440"/>
          </w:tcPr>
          <w:p>
            <w:r>
              <w:rPr>
                <w:sz w:val="20"/>
              </w:rPr>
              <w:t>Stearns</w:t>
            </w:r>
          </w:p>
        </w:tc>
        <w:tc>
          <w:tcPr>
            <w:tcW w:type="dxa" w:w="3888"/>
          </w:tcPr>
          <w:p>
            <w:r>
              <w:rPr>
                <w:sz w:val="20"/>
              </w:rPr>
              <w:t>Directly abutting the Mississippi River and River Bluffs Regional Park within the City of St. Cloud, these four parcels provide an opportunity for residents to directly access the river.</w:t>
            </w:r>
          </w:p>
        </w:tc>
        <w:tc>
          <w:tcPr>
            <w:tcW w:type="dxa" w:w="1080"/>
          </w:tcPr>
          <w:p>
            <w:r>
              <w:rPr>
                <w:sz w:val="20"/>
              </w:rPr>
              <w:t>Fee Title</w:t>
            </w:r>
          </w:p>
        </w:tc>
        <w:tc>
          <w:tcPr>
            <w:tcW w:type="dxa" w:w="432"/>
          </w:tcPr>
          <w:p>
            <w:pPr>
              <w:jc w:val="right"/>
            </w:pPr>
            <w:r>
              <w:rPr>
                <w:sz w:val="20"/>
              </w:rPr>
              <w:t>133</w:t>
            </w:r>
          </w:p>
        </w:tc>
        <w:tc>
          <w:tcPr>
            <w:tcW w:type="dxa" w:w="432"/>
          </w:tcPr>
          <w:p>
            <w:pPr>
              <w:jc w:val="right"/>
            </w:pPr>
            <w:r>
              <w:rPr>
                <w:sz w:val="20"/>
              </w:rPr>
              <w:t>0.75</w:t>
            </w:r>
          </w:p>
        </w:tc>
        <w:tc>
          <w:tcPr>
            <w:tcW w:type="dxa" w:w="1080"/>
          </w:tcPr>
          <w:p>
            <w:pPr>
              <w:jc w:val="right"/>
            </w:pPr>
            <w:r>
              <w:rPr>
                <w:sz w:val="20"/>
              </w:rPr>
              <w:t>$766,000</w:t>
            </w:r>
          </w:p>
        </w:tc>
        <w:tc>
          <w:tcPr>
            <w:tcW w:type="dxa" w:w="1080"/>
          </w:tcPr>
          <w:p>
            <w:r>
              <w:rPr>
                <w:sz w:val="20"/>
              </w:rPr>
              <w:t>Private</w:t>
            </w:r>
          </w:p>
        </w:tc>
        <w:tc>
          <w:tcPr>
            <w:tcW w:type="dxa" w:w="1728"/>
          </w:tcPr>
          <w:p>
            <w:r>
              <w:rPr>
                <w:sz w:val="20"/>
              </w:rPr>
              <w:t>City of St. Cloud or Stearns County</w:t>
            </w:r>
          </w:p>
        </w:tc>
        <w:tc>
          <w:tcPr>
            <w:tcW w:type="dxa" w:w="1080"/>
          </w:tcPr>
          <w:p>
            <w:r>
              <w:rPr>
                <w:sz w:val="20"/>
              </w:rPr>
              <w:t>Has not begun</w:t>
            </w:r>
          </w:p>
        </w:tc>
      </w:tr>
      <w:tr>
        <w:tc>
          <w:tcPr>
            <w:tcW w:type="dxa" w:w="2160"/>
          </w:tcPr>
          <w:p>
            <w:r>
              <w:rPr>
                <w:sz w:val="20"/>
              </w:rPr>
              <w:t>Timms Creek/Minnesota River</w:t>
            </w:r>
          </w:p>
        </w:tc>
        <w:tc>
          <w:tcPr>
            <w:tcW w:type="dxa" w:w="1440"/>
          </w:tcPr>
          <w:p>
            <w:r>
              <w:rPr>
                <w:sz w:val="20"/>
              </w:rPr>
              <w:t>Renville</w:t>
            </w:r>
          </w:p>
        </w:tc>
        <w:tc>
          <w:tcPr>
            <w:tcW w:type="dxa" w:w="3888"/>
          </w:tcPr>
          <w:p>
            <w:r>
              <w:rPr>
                <w:sz w:val="20"/>
              </w:rPr>
              <w:t>Identified in the Minnesota River Valley Recreation and Conservation Master Plan, the protection of these parcels will conserve unique and sensitive natural resources while providing increased recreational opportunities.</w:t>
            </w:r>
          </w:p>
        </w:tc>
        <w:tc>
          <w:tcPr>
            <w:tcW w:type="dxa" w:w="1080"/>
          </w:tcPr>
          <w:p>
            <w:r>
              <w:rPr>
                <w:sz w:val="20"/>
              </w:rPr>
              <w:t>Fee Title</w:t>
            </w:r>
          </w:p>
        </w:tc>
        <w:tc>
          <w:tcPr>
            <w:tcW w:type="dxa" w:w="432"/>
          </w:tcPr>
          <w:p>
            <w:pPr>
              <w:jc w:val="right"/>
            </w:pPr>
            <w:r>
              <w:rPr>
                <w:sz w:val="20"/>
              </w:rPr>
              <w:t>190</w:t>
            </w:r>
          </w:p>
        </w:tc>
        <w:tc>
          <w:tcPr>
            <w:tcW w:type="dxa" w:w="432"/>
          </w:tcPr>
          <w:p>
            <w:pPr>
              <w:jc w:val="right"/>
            </w:pPr>
            <w:r>
              <w:rPr>
                <w:sz w:val="20"/>
              </w:rPr>
              <w:t>0.75</w:t>
            </w:r>
          </w:p>
        </w:tc>
        <w:tc>
          <w:tcPr>
            <w:tcW w:type="dxa" w:w="1080"/>
          </w:tcPr>
          <w:p>
            <w:pPr>
              <w:jc w:val="right"/>
            </w:pPr>
            <w:r>
              <w:rPr>
                <w:sz w:val="20"/>
              </w:rPr>
              <w:t>$1,000,000</w:t>
            </w:r>
          </w:p>
        </w:tc>
        <w:tc>
          <w:tcPr>
            <w:tcW w:type="dxa" w:w="1080"/>
          </w:tcPr>
          <w:p>
            <w:r>
              <w:rPr>
                <w:sz w:val="20"/>
              </w:rPr>
              <w:t>Private</w:t>
            </w:r>
          </w:p>
        </w:tc>
        <w:tc>
          <w:tcPr>
            <w:tcW w:type="dxa" w:w="1728"/>
          </w:tcPr>
          <w:p>
            <w:r>
              <w:rPr>
                <w:sz w:val="20"/>
              </w:rPr>
              <w:t>Renville County or MN DNR</w:t>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706.6</w:t>
            </w:r>
          </w:p>
        </w:tc>
        <w:tc>
          <w:tcPr>
            <w:tcW w:type="dxa" w:w="432"/>
            <w:shd w:fill="#eeeeee"/>
          </w:tcPr>
          <w:p>
            <w:pPr>
              <w:jc w:val="right"/>
            </w:pPr>
            <w:r>
              <w:rPr>
                <w:b/>
                <w:color w:val="000000"/>
                <w:sz w:val="20"/>
              </w:rPr>
              <w:t>4.4</w:t>
            </w:r>
          </w:p>
        </w:tc>
        <w:tc>
          <w:tcPr>
            <w:tcW w:type="dxa" w:w="1080"/>
            <w:shd w:fill="#eeeeee"/>
          </w:tcPr>
          <w:p>
            <w:pPr>
              <w:jc w:val="right"/>
            </w:pPr>
            <w:r>
              <w:rPr>
                <w:b/>
                <w:color w:val="000000"/>
                <w:sz w:val="20"/>
              </w:rPr>
              <w:t>$4,765,900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Fee Acquisition</w:t>
      </w:r>
    </w:p>
    <w:p>
      <w:r>
        <w:rPr>
          <w:b/>
        </w:rPr>
        <w:t xml:space="preserve">1. Describe the selection process for identifying and including proposed parcels on the parcel list, including an explanation of the criteria and decision-making process used to rank and prioritize parcels. </w:t>
        <w:br/>
      </w:r>
      <w:r>
        <w:t>The proposed parcels have been identified and prioritized in state, regional and local natural resource and recreation plans, as well as through agency and community conversations. These parcels are regarded as priorities for recreational value, high quality natural resources, land that address access gaps, scenic value, and/or water protection. Other prioritization factors are presence of biodiversity significance on site, adjacency to already protected land, level of local support, immediacy of threats, whether we see a pathway to obtain full funding to successfully compete the acquisition, whether the permanent steward will be able to adequately manage the property and fund on-going maintenance, and landowner willingness and timing needs.</w:t>
      </w:r>
    </w:p>
    <w:p>
      <w:r>
        <w:rPr>
          <w:b/>
        </w:rPr>
        <w:t xml:space="preserve">2. List all adopted state, regional, or local natural resource plans in which the lands included in the parcel list are identified for the acquisition purposes you propose. Include the URL to the plan if one is available. </w:t>
        <w:br/>
      </w:r>
      <w:r>
        <w:t>The parcels included in our proposal have been identified through state, county, and local plans as being priorities – plans include:</w:t>
        <w:br/>
        <w:br/>
        <w:t>o Minnesota Scientific and Natural Areas Program Strategic Land Protection Plan</w:t>
        <w:br/>
        <w:t>o Minnesota DNR Strategic Conservation Agenda: 2015-2025</w:t>
        <w:br/>
        <w:t>o MN State Comprehensive Outdoor Recreation Plan 2014-2018</w:t>
        <w:br/>
        <w:t>o Washington County’s Land and Water Legacy Program</w:t>
        <w:br/>
        <w:t>o Mississippi River Partnership Plan for the City of Brainerd</w:t>
        <w:br/>
        <w:t>o Minnesota Great River Road Corridor Management Plan</w:t>
        <w:br/>
        <w:t>o LCCMR – Six-Year Strategic Plan for MN’s Environment and Natural Resources Trust Fund</w:t>
        <w:br/>
        <w:t>o Goodhue County Byllesby Park Master Plan</w:t>
        <w:br/>
        <w:t>o Goodhue County Nielsen Memorial Preserve Master Plan</w:t>
        <w:br/>
        <w:t>o Minnesota River Valley Recreation and Conservation Master Plan</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Once parcels have been acquired and conveyed to the long-term steward, initial site development and restoration of the property will begin. The Trust for Public Land will work with the long-term steward to complete a restoration and management plan (including how these activities will be funded), and implementation of that plan will be completed in the years following acquisition. Estimated costs for initial development costs of parcels are included in this proposal.</w:t>
      </w:r>
    </w:p>
    <w:p>
      <w:r>
        <w:rPr>
          <w:b/>
        </w:rPr>
        <w:t xml:space="preserve">4. For each parcel to be conveyed to a State of Minnesota entity (e.g., DNR) after purchase, provide a statement confirming that county board approval will be obtained. </w:t>
        <w:br/>
      </w:r>
      <w:r>
        <w:t>The Trust for Public Land will work with local units of government on the acquisition of these parcels. If required, County Board approval will be obtained.</w:t>
      </w:r>
    </w:p>
    <w:p>
      <w:r>
        <w:rPr>
          <w:b/>
        </w:rPr>
        <w:t xml:space="preserve">5. If applicable (see M.S. 116P.17), provide a statement confirming that written approval from the DNR Commissioner will be obtained 10 business days prior to any final acquisition transaction. </w:t>
        <w:br/>
      </w:r>
      <w:r>
        <w:t>Written approval from the DNR Commissioner will be obtained 10 business days prior to any final acquisition transaction.</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bf500c09-c8d.pdf</w:t>
          </w:r>
        </w:hyperlink>
      </w:r>
    </w:p>
    <w:p>
      <w:pPr>
        <w:pStyle w:val="Heading4"/>
        <w:spacing w:before="40" w:after="20"/>
      </w:pPr>
      <w:r>
        <w:rPr>
          <w:b/>
          <w:i/>
          <w:color w:val="000000"/>
          <w:sz w:val="24"/>
        </w:rPr>
        <w:t>Alternate Text for Map</w:t>
      </w:r>
    </w:p>
    <w:p>
      <w:r>
        <w:t>Parcel Overview Map</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71d420de-b8d.pdf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TPL Letter Authorizing LCCMR PROTECT Proposal</w:t>
            </w:r>
          </w:p>
        </w:tc>
        <w:tc>
          <w:tcPr>
            <w:tcW w:type="dxa" w:w="5400"/>
          </w:tcPr>
          <w:p>
            <w:r>
              <w:rPr>
                <w:sz w:val="20"/>
              </w:rPr>
            </w:r>
            <w:r>
              <w:rPr>
                <w:color w:val="000000" w:themeColor="hyperlink"/>
                <w:sz w:val="20"/>
                <w:u w:val="single"/>
              </w:rPr>
              <w:hyperlink r:id="rId19">
                <w:r>
                  <w:rPr/>
                  <w:t>6b05e73b-3b7.pdf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Fee Acquisition, </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bf500c09-c8d.pdf" TargetMode="External"/><Relationship Id="rId18" Type="http://schemas.openxmlformats.org/officeDocument/2006/relationships/hyperlink" Target="https://lccmrprojectmgmt.leg.mn/media/financial_capacity/71d420de-b8d.pdf" TargetMode="External"/><Relationship Id="rId19" Type="http://schemas.openxmlformats.org/officeDocument/2006/relationships/hyperlink" Target="https://lccmrprojectmgmt.leg.mn/media/attachments/6b05e73b-3b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Turning Back to Rivers: Environmental and Recreational Protection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1622482139</vt:i4>
  </property>
  <property fmtid="{D5CDD505-2E9C-101B-9397-08002B2CF9AE}" pid="4" name="_NewReviewCycle">
    <vt:lpwstr/>
  </property>
  <property fmtid="{D5CDD505-2E9C-101B-9397-08002B2CF9AE}" pid="5" name="_EmailSubject">
    <vt:lpwstr>Group 3-last group</vt:lpwstr>
  </property>
  <property fmtid="{D5CDD505-2E9C-101B-9397-08002B2CF9AE}" pid="6" name="_AuthorEmail">
    <vt:lpwstr>diana.griffith@lccmr.leg.mn</vt:lpwstr>
  </property>
  <property fmtid="{D5CDD505-2E9C-101B-9397-08002B2CF9AE}" pid="7" name="_AuthorEmailDisplayName">
    <vt:lpwstr>Diana Griffith</vt:lpwstr>
  </property>
</Properties>
</file>