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2021-027</w:t>
      </w:r>
    </w:p>
    <w:p>
      <w:r>
        <w:rPr>
          <w:b/>
        </w:rPr>
        <w:t xml:space="preserve">Proposal Title: </w:t>
      </w:r>
      <w:r>
        <w:t>Ml 2021 Contract Agreement Reimbursement</w:t>
      </w:r>
    </w:p>
    <w:p/>
    <w:p>
      <w:pPr>
        <w:pStyle w:val="Heading2"/>
        <w:spacing w:before="0" w:after="80"/>
      </w:pPr>
      <w:r>
        <w:rPr>
          <w:b/>
          <w:color w:val="2C559C"/>
          <w:sz w:val="28"/>
        </w:rPr>
        <w:t>Project Manager Information</w:t>
      </w:r>
    </w:p>
    <w:p>
      <w:r>
        <w:rPr>
          <w:b/>
        </w:rPr>
        <w:t xml:space="preserve">Name: </w:t>
      </w:r>
      <w:r>
        <w:t>Katherine Sherman-Hoehn</w:t>
      </w:r>
    </w:p>
    <w:p>
      <w:r>
        <w:rPr>
          <w:b/>
        </w:rPr>
        <w:t xml:space="preserve">Organization: </w:t>
      </w:r>
      <w:r>
        <w:t>MN DNR - Grants Unit</w:t>
      </w:r>
    </w:p>
    <w:p>
      <w:r>
        <w:rPr>
          <w:b/>
        </w:rPr>
        <w:t xml:space="preserve">Office Telephone: </w:t>
      </w:r>
      <w:r>
        <w:t>(651) 259-5533</w:t>
      </w:r>
    </w:p>
    <w:p>
      <w:r>
        <w:rPr>
          <w:b/>
        </w:rPr>
        <w:t xml:space="preserve">Email: </w:t>
      </w:r>
      <w:r>
        <w:t>katherine.sherman-hoehn@state.mn.us</w:t>
      </w:r>
    </w:p>
    <w:p/>
    <w:p>
      <w:pPr>
        <w:pStyle w:val="Heading2"/>
        <w:spacing w:before="0" w:after="80"/>
      </w:pPr>
      <w:r>
        <w:rPr>
          <w:b/>
          <w:color w:val="2C559C"/>
          <w:sz w:val="28"/>
        </w:rPr>
        <w:t>Project Basic Information</w:t>
      </w:r>
    </w:p>
    <w:p>
      <w:r>
        <w:rPr>
          <w:b/>
        </w:rPr>
        <w:t xml:space="preserve">Project Summary: </w:t>
      </w:r>
      <w:r>
        <w:t>Provide contract management to ENRTF pass-through appropriation recipients for approximately 60 open grants. Ensure funds are expended in compliance with appropriation law, state statute, grants policies, and approved work plans.</w:t>
      </w:r>
    </w:p>
    <w:p>
      <w:r>
        <w:rPr>
          <w:b/>
        </w:rPr>
        <w:t xml:space="preserve">Funds Requested: </w:t>
      </w:r>
      <w:r>
        <w:t>$135,000</w:t>
      </w:r>
    </w:p>
    <w:p>
      <w:r>
        <w:rPr>
          <w:b/>
        </w:rPr>
        <w:t xml:space="preserve">Proposed Project Completion: </w:t>
      </w:r>
      <w:r>
        <w:t>2023-06-30</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Provide continued contract management services to pass-through recipients of Environment and Natural Resource Trust Fund (ENRTF) dollars appropriated to the commissioner of natural resources.</w:t>
      </w:r>
    </w:p>
    <w:p>
      <w:pPr>
        <w:spacing w:after="60"/>
      </w:pPr>
      <w:r>
        <w:rPr>
          <w:b/>
        </w:rPr>
        <w:t>What is your proposed solution to the problem or opportunity discussed above? i.e. What are you seeking funding to do? You will be asked to expand on this in Activities and Milestones.</w:t>
      </w:r>
    </w:p>
    <w:p>
      <w:r>
        <w:t>his appropriation will be used to continue and enhance contract management services to pass-through recipients of ENRTF appropriations to the Commissioner of Natural Resources. The goal of contract management is to ensure that grantees are properly reimbursed and that organizations operate in compliance with ENRTF pass-through appropriation procedures, policies from the Department of Administration’s Grants Management, ENRTF statute, and the recommendations of the Legislative Auditor. Contract management includes: grant agreements and amendments, training, technical assistance, reporting, fiscal monitoring, reimbursement request processing, and close-out of grants.</w:t>
      </w:r>
    </w:p>
    <w:p>
      <w:pPr>
        <w:spacing w:after="60"/>
      </w:pPr>
      <w:r>
        <w:rPr>
          <w:b/>
        </w:rPr>
        <w:t xml:space="preserve">What are the specific project outcomes as they relate to the public purpose of protection, conservation, preservation, and enhancement of the state’s natural resources? </w:t>
      </w:r>
    </w:p>
    <w:p>
      <w:r>
        <w:t>The OMBS Grants Unit’s goal is to provide pass-through recipients with the contract management, technical assistance, and grant monitoring they need to successfully complete their conservation work. The Grants Unit provides grantees with one consistent point of contact for their agreements and delivers timely, responsive, customer service.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Contract Management</w:t>
      </w:r>
    </w:p>
    <w:p>
      <w:r>
        <w:rPr>
          <w:b/>
        </w:rPr>
        <w:t xml:space="preserve">Activity Budget: </w:t>
      </w:r>
      <w:r>
        <w:t>$135,000</w:t>
      </w:r>
    </w:p>
    <w:p>
      <w:r>
        <w:rPr>
          <w:b/>
        </w:rPr>
        <w:t xml:space="preserve">Activity Description: </w:t>
        <w:br/>
      </w:r>
      <w:r>
        <w:t>The Grants Unit manages grant agreements for special environment and natural resource projects recommended by LCCMR and appropriated by the legislature to ensure that all projects operate in compliance with state and LCCMR requirements. Services include:</w:t>
        <w:br/>
        <w:t>Contract Management</w:t>
        <w:br/>
        <w:t>o</w:t>
        <w:tab/>
        <w:t>Meeting statutory and Office of Grants Management (OGM) requirements for grant agreements, including contract creation, payment requests, monitoring, and closeout</w:t>
        <w:br/>
        <w:t>o</w:t>
        <w:tab/>
        <w:t>Processing reimbursement requests promptly, in compliance with state and DNR policies and LCCMR-approved workplan</w:t>
        <w:br/>
        <w:t>o</w:t>
        <w:tab/>
        <w:t>Working closely with and responding to requests from the Office of the Legislative Auditor</w:t>
        <w:br/>
        <w:t>o</w:t>
        <w:tab/>
        <w:t>Developing and maintaining accurate reports on Trust fund and individual project status</w:t>
        <w:br/>
        <w:t>o</w:t>
        <w:tab/>
        <w:t>Working cooperatively with LCCMR staff and recipients to resolve questions and make changes</w:t>
        <w:br/>
        <w:t>o</w:t>
        <w:tab/>
        <w:t>Improving processes to increase efficiency and ease for recipients while ensuring fiscal integrity</w:t>
        <w:br/>
        <w:t>Training and Ongoing Communication</w:t>
        <w:br/>
        <w:t>o</w:t>
        <w:tab/>
        <w:t>Training recipients on state requirements to ensure they understand the state’s contract and reimbursement procedures and requirements</w:t>
        <w:br/>
        <w:t>o</w:t>
        <w:tab/>
        <w:t>Providing ongoing technical assistance and one-on-one work with recipients where necessary</w:t>
        <w:br/>
        <w:t>o</w:t>
        <w:tab/>
        <w:t>Responding to LCCMR requests for information or assistance</w:t>
        <w:br/>
        <w:t>The Grants Unit uses a professional service rate to charge for work, with expenses charged only for actual hours worked and services delivered.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Pass Through Grant Agreements Provided to Recipients</w:t>
            </w:r>
          </w:p>
        </w:tc>
        <w:tc>
          <w:tcPr>
            <w:tcW w:type="dxa" w:w="1440"/>
          </w:tcPr>
          <w:p>
            <w:pPr>
              <w:jc w:val="right"/>
            </w:pPr>
            <w:r>
              <w:rPr>
                <w:sz w:val="20"/>
              </w:rPr>
              <w:t>2021-07-31</w:t>
            </w:r>
          </w:p>
        </w:tc>
      </w:tr>
      <w:tr>
        <w:tc>
          <w:tcPr>
            <w:tcW w:type="dxa" w:w="9360"/>
          </w:tcPr>
          <w:p>
            <w:r>
              <w:rPr>
                <w:sz w:val="20"/>
              </w:rPr>
              <w:t>Contract Management for Pass Through Grant Recipients</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The Grants Unit will continue contract management through existing policies and procedures, including Office of Grants Management policies; procedures laid out in ENRTF statute, appropriation language, and workplans; and in Grants Unit policies and procedures laid out in attachments to grantee contracts. </w:t>
        <w:br/>
        <w:t>The Grants Unit will continue to track contract management activities and metrics through its database and through state‐mandated file retention procedures, and communicate any relevant findings to LCCMR staff. Additional work would be funded with future appropriations.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Contract Agreement Reimbursement</w:t>
            </w:r>
          </w:p>
        </w:tc>
        <w:tc>
          <w:tcPr>
            <w:tcW w:type="dxa" w:w="4680"/>
          </w:tcPr>
          <w:p>
            <w:r>
              <w:rPr>
                <w:sz w:val="20"/>
              </w:rPr>
              <w:t>M.L. 2019, First Special Session, Chp. 4, Art. 2, Sec. 2, Subd. 10a</w:t>
            </w:r>
          </w:p>
        </w:tc>
        <w:tc>
          <w:tcPr>
            <w:tcW w:type="dxa" w:w="1440"/>
          </w:tcPr>
          <w:p>
            <w:pPr>
              <w:jc w:val="right"/>
            </w:pPr>
            <w:r>
              <w:rPr>
                <w:sz w:val="20"/>
              </w:rPr>
              <w:t>$135,000</w:t>
            </w:r>
          </w:p>
        </w:tc>
      </w:tr>
      <w:tr>
        <w:tc>
          <w:tcPr>
            <w:tcW w:type="dxa" w:w="4680"/>
          </w:tcPr>
          <w:p>
            <w:r>
              <w:rPr>
                <w:sz w:val="20"/>
              </w:rPr>
              <w:t>Contract Agreement Reimbursement</w:t>
            </w:r>
          </w:p>
        </w:tc>
        <w:tc>
          <w:tcPr>
            <w:tcW w:type="dxa" w:w="4680"/>
          </w:tcPr>
          <w:p>
            <w:r>
              <w:rPr>
                <w:sz w:val="20"/>
              </w:rPr>
              <w:t>M.L. 2018, Chp. 214, Art. 4, Sec. 2, Subd. 12</w:t>
            </w:r>
          </w:p>
        </w:tc>
        <w:tc>
          <w:tcPr>
            <w:tcW w:type="dxa" w:w="1440"/>
          </w:tcPr>
          <w:p>
            <w:pPr>
              <w:jc w:val="right"/>
            </w:pPr>
            <w:r>
              <w:rPr>
                <w:sz w:val="20"/>
              </w:rPr>
              <w:t>$135,000</w:t>
            </w:r>
          </w:p>
        </w:tc>
      </w:tr>
      <w:tr>
        <w:tc>
          <w:tcPr>
            <w:tcW w:type="dxa" w:w="4680"/>
          </w:tcPr>
          <w:p>
            <w:r>
              <w:rPr>
                <w:sz w:val="20"/>
              </w:rPr>
              <w:t>Contract Agreement Reimbursement</w:t>
            </w:r>
          </w:p>
        </w:tc>
        <w:tc>
          <w:tcPr>
            <w:tcW w:type="dxa" w:w="4680"/>
          </w:tcPr>
          <w:p>
            <w:r>
              <w:rPr>
                <w:sz w:val="20"/>
              </w:rPr>
              <w:t>M.L. 2017, Chp. 96, Sec. 2, Subd. 10a</w:t>
            </w:r>
          </w:p>
        </w:tc>
        <w:tc>
          <w:tcPr>
            <w:tcW w:type="dxa" w:w="1440"/>
          </w:tcPr>
          <w:p>
            <w:pPr>
              <w:jc w:val="right"/>
            </w:pPr>
            <w:r>
              <w:rPr>
                <w:sz w:val="20"/>
              </w:rPr>
              <w:t>$135,000</w:t>
            </w:r>
          </w:p>
        </w:tc>
      </w:tr>
      <w:tr>
        <w:tc>
          <w:tcPr>
            <w:tcW w:type="dxa" w:w="4680"/>
          </w:tcPr>
          <w:p>
            <w:r>
              <w:rPr>
                <w:sz w:val="20"/>
              </w:rPr>
              <w:t>Contract Agreement Reimbursement</w:t>
            </w:r>
          </w:p>
        </w:tc>
        <w:tc>
          <w:tcPr>
            <w:tcW w:type="dxa" w:w="4680"/>
          </w:tcPr>
          <w:p>
            <w:r>
              <w:rPr>
                <w:sz w:val="20"/>
              </w:rPr>
              <w:t>M.L. 2016, Chp. 186, Sec. 2, Subd. 10a</w:t>
            </w:r>
          </w:p>
        </w:tc>
        <w:tc>
          <w:tcPr>
            <w:tcW w:type="dxa" w:w="1440"/>
          </w:tcPr>
          <w:p>
            <w:pPr>
              <w:jc w:val="right"/>
            </w:pPr>
            <w:r>
              <w:rPr>
                <w:sz w:val="20"/>
              </w:rPr>
              <w:t>$135,000</w:t>
            </w:r>
          </w:p>
        </w:tc>
      </w:tr>
      <w:tr>
        <w:tc>
          <w:tcPr>
            <w:tcW w:type="dxa" w:w="4680"/>
          </w:tcPr>
          <w:p>
            <w:r>
              <w:rPr>
                <w:sz w:val="20"/>
              </w:rPr>
              <w:t>Contract Agreement Reimbursement</w:t>
            </w:r>
          </w:p>
        </w:tc>
        <w:tc>
          <w:tcPr>
            <w:tcW w:type="dxa" w:w="4680"/>
          </w:tcPr>
          <w:p>
            <w:r>
              <w:rPr>
                <w:sz w:val="20"/>
              </w:rPr>
              <w:t>M.L. 2015, Chp. 76, Sec. 2, Subd. 11b</w:t>
            </w:r>
          </w:p>
        </w:tc>
        <w:tc>
          <w:tcPr>
            <w:tcW w:type="dxa" w:w="1440"/>
          </w:tcPr>
          <w:p>
            <w:pPr>
              <w:jc w:val="right"/>
            </w:pPr>
            <w:r>
              <w:rPr>
                <w:sz w:val="20"/>
              </w:rPr>
              <w:t>$135,000</w:t>
            </w:r>
          </w:p>
        </w:tc>
      </w:tr>
      <w:tr>
        <w:tc>
          <w:tcPr>
            <w:tcW w:type="dxa" w:w="4680"/>
          </w:tcPr>
          <w:p>
            <w:r>
              <w:rPr>
                <w:sz w:val="20"/>
              </w:rPr>
              <w:t>Contract Agreement Reimbursement</w:t>
            </w:r>
          </w:p>
        </w:tc>
        <w:tc>
          <w:tcPr>
            <w:tcW w:type="dxa" w:w="4680"/>
          </w:tcPr>
          <w:p>
            <w:r>
              <w:rPr>
                <w:sz w:val="20"/>
              </w:rPr>
              <w:t>M.L. 2014, Chp. 226, Sec. 2, Subd. 10a</w:t>
            </w:r>
          </w:p>
        </w:tc>
        <w:tc>
          <w:tcPr>
            <w:tcW w:type="dxa" w:w="1440"/>
          </w:tcPr>
          <w:p>
            <w:pPr>
              <w:jc w:val="right"/>
            </w:pPr>
            <w:r>
              <w:rPr>
                <w:sz w:val="20"/>
              </w:rPr>
              <w:t>$135,000</w:t>
            </w:r>
          </w:p>
        </w:tc>
      </w:tr>
    </w:tbl>
    <w:p/>
    <w:p>
      <w:pPr>
        <w:pStyle w:val="Heading2"/>
        <w:spacing w:before="0" w:after="80"/>
      </w:pPr>
      <w:r>
        <w:rPr>
          <w:b/>
          <w:color w:val="2C559C"/>
          <w:sz w:val="28"/>
        </w:rPr>
        <w:t>Project Manager and Organization Qualifications</w:t>
      </w:r>
    </w:p>
    <w:p>
      <w:r>
        <w:rPr>
          <w:b/>
        </w:rPr>
        <w:t xml:space="preserve">Project Manager Name: </w:t>
      </w:r>
      <w:r>
        <w:t>Katherine Sherman-Hoehn</w:t>
      </w:r>
    </w:p>
    <w:p>
      <w:r>
        <w:rPr>
          <w:b/>
        </w:rPr>
        <w:t xml:space="preserve">Job Title: </w:t>
      </w:r>
      <w:r>
        <w:t>OMBS Grants Manager</w:t>
      </w:r>
    </w:p>
    <w:p>
      <w:r>
        <w:rPr>
          <w:b/>
        </w:rPr>
        <w:t xml:space="preserve">Provide description of the project manager’s qualifications to manage the proposed project. </w:t>
        <w:br/>
      </w:r>
      <w:r>
        <w:t>Eight years of professional full-time grant management experience with progressive levels of responsibility. Currently supervise the Grants Unit in the Office of Management and Budget Services at the Minnesota Department of Natural Resources. Member of the Minnesota Office of Grants Management's Governance Committee.</w:t>
      </w:r>
    </w:p>
    <w:p>
      <w:r>
        <w:rPr>
          <w:b/>
        </w:rPr>
        <w:t xml:space="preserve">Organization: </w:t>
      </w:r>
      <w:r>
        <w:t>MN DNR - Grants Unit</w:t>
      </w:r>
    </w:p>
    <w:p>
      <w:r>
        <w:rPr>
          <w:b/>
        </w:rPr>
        <w:t xml:space="preserve">Organization Description: </w:t>
        <w:br/>
      </w:r>
      <w:r>
        <w:t>The Minnesota Department of Natural Resources (DNR) works to integrate and sustain the interdependent values of a healthy environment, a sustainable economy, and livable communities. DNR’s integrated resource management strategy shares stewardship responsibility with citizens and partners to manage for multiple interests. The mission of the Minnesota Department of Natural Resources is to work with citizens to conserve and manage the state's natural resources, to provide outdoor recreation opportunities, and to provide for commercial uses of natural resources in a way that creates a sustainable quality of life.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OMBS Grants Unit</w:t>
            </w:r>
          </w:p>
        </w:tc>
        <w:tc>
          <w:tcPr>
            <w:tcW w:type="dxa" w:w="1440"/>
          </w:tcPr>
          <w:p>
            <w:r>
              <w:rPr>
                <w:sz w:val="20"/>
              </w:rPr>
              <w:t>Internal services or fees (uncommon)</w:t>
            </w:r>
          </w:p>
        </w:tc>
        <w:tc>
          <w:tcPr>
            <w:tcW w:type="dxa" w:w="5472"/>
          </w:tcPr>
          <w:p>
            <w:r>
              <w:rPr>
                <w:sz w:val="20"/>
              </w:rPr>
              <w:t>The Grants Unit manages grant agreements for special environment and natural resource projects recommended by LCCMR and appropriated by the legislature to ensure that all projects operate in compliance with state and LCCMR requirements.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6.86</w:t>
            </w:r>
          </w:p>
        </w:tc>
        <w:tc>
          <w:tcPr>
            <w:tcW w:type="dxa" w:w="360"/>
          </w:tcPr>
          <w:p>
            <w:r>
              <w:rPr>
                <w:sz w:val="20"/>
              </w:rPr>
            </w:r>
          </w:p>
        </w:tc>
        <w:tc>
          <w:tcPr>
            <w:tcW w:type="dxa" w:w="1152"/>
          </w:tcPr>
          <w:p>
            <w:pPr>
              <w:jc w:val="right"/>
            </w:pPr>
            <w:r>
              <w:rPr>
                <w:sz w:val="20"/>
              </w:rPr>
              <w:t>$135,000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$135,000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OMBS Grants Unit</w:t>
            </w:r>
          </w:p>
        </w:tc>
        <w:tc>
          <w:tcPr>
            <w:tcW w:type="dxa" w:w="1800"/>
          </w:tcPr>
          <w:p>
            <w:r>
              <w:rPr>
                <w:sz w:val="20"/>
              </w:rPr>
              <w:t>Internal services or fees (uncommon)</w:t>
            </w:r>
          </w:p>
        </w:tc>
        <w:tc>
          <w:tcPr>
            <w:tcW w:type="dxa" w:w="3240"/>
          </w:tcPr>
          <w:p>
            <w:r>
              <w:rPr>
                <w:sz w:val="20"/>
              </w:rPr>
              <w:t>The Grants Unit manages grant agreements for special environment and natural resource projects recommended by LCCMR and appropriated by the legislature to ensure that all projects operate in compliance with state and LCCMR requirements.</w:t>
            </w:r>
          </w:p>
        </w:tc>
        <w:tc>
          <w:tcPr>
            <w:tcW w:type="dxa" w:w="7560"/>
          </w:tcPr>
          <w:p>
            <w:r>
              <w:rPr>
                <w:sz w:val="20"/>
              </w:rPr>
              <w:t>Per agreement with LCCMR.</w:t>
              <w:br/>
            </w:r>
            <w:r>
              <w:rPr>
                <w:b/>
                <w:sz w:val="20"/>
              </w:rPr>
              <w:t>This is a single source contract.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c3297bf0-dd5.docx</w:t>
          </w:r>
        </w:hyperlink>
      </w:r>
    </w:p>
    <w:p>
      <w:pPr>
        <w:pStyle w:val="Heading4"/>
        <w:spacing w:before="40" w:after="20"/>
      </w:pPr>
      <w:r>
        <w:rPr>
          <w:b/>
          <w:i/>
          <w:color w:val="000000"/>
          <w:sz w:val="24"/>
        </w:rPr>
        <w:t>Alternate Text for Visual Component</w:t>
      </w:r>
    </w:p>
    <w:p>
      <w:r>
        <w:t>Single page showing Contract Management Measures from 2015 to 2019. Two charts, one showing Open Grants per Fiscal Year with a gradual upward trend from 54 to 78. Payments by Fiscal Year showing an upward trend from 2015-2018 and a dip back down in 2019 to 2015 levels. Payments were around 140 in 2015 and around 190 in 2018.</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3297bf0-dd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Ml 2021 Contract Agreement Reimbursement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