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52866" w14:textId="77777777" w:rsidR="006E0EFD" w:rsidRPr="00721026" w:rsidRDefault="006E0EFD" w:rsidP="00721026">
      <w:pPr>
        <w:tabs>
          <w:tab w:val="left" w:pos="540"/>
        </w:tabs>
        <w:autoSpaceDE w:val="0"/>
        <w:autoSpaceDN w:val="0"/>
        <w:adjustRightInd w:val="0"/>
        <w:spacing w:after="240"/>
        <w:rPr>
          <w:rFonts w:cs="Arial"/>
          <w:b/>
          <w:bCs/>
          <w:color w:val="000000"/>
        </w:rPr>
      </w:pPr>
      <w:r w:rsidRPr="00721026">
        <w:rPr>
          <w:rFonts w:cs="Arial"/>
          <w:b/>
          <w:bCs/>
          <w:color w:val="000000"/>
        </w:rPr>
        <w:t>PROJECT TITLE:</w:t>
      </w:r>
      <w:r w:rsidR="00332495" w:rsidRPr="00721026">
        <w:rPr>
          <w:rFonts w:cs="Arial"/>
          <w:b/>
          <w:bCs/>
          <w:color w:val="000000"/>
        </w:rPr>
        <w:t xml:space="preserve"> Metropolitan Regional Parks System Land Acquisition – Phase 6</w:t>
      </w:r>
    </w:p>
    <w:p w14:paraId="5DAA0C4A" w14:textId="77777777" w:rsidR="006E0EFD" w:rsidRPr="00721026" w:rsidRDefault="006E0EFD" w:rsidP="006E0EFD">
      <w:pPr>
        <w:rPr>
          <w:rFonts w:cs="Arial"/>
        </w:rPr>
      </w:pPr>
      <w:r w:rsidRPr="00721026">
        <w:rPr>
          <w:rFonts w:cs="Arial"/>
          <w:b/>
        </w:rPr>
        <w:t>I. PROJECT STATEMENT</w:t>
      </w:r>
    </w:p>
    <w:p w14:paraId="1539AB05" w14:textId="6D8FB974" w:rsidR="00721026" w:rsidRDefault="0056186D" w:rsidP="00721026">
      <w:pPr>
        <w:widowControl w:val="0"/>
        <w:spacing w:after="120"/>
        <w:rPr>
          <w:rFonts w:cs="Arial"/>
        </w:rPr>
      </w:pPr>
      <w:r w:rsidRPr="00721026">
        <w:rPr>
          <w:rFonts w:cs="Arial"/>
        </w:rPr>
        <w:t xml:space="preserve">This project will acquire </w:t>
      </w:r>
      <w:r w:rsidR="00D83A13" w:rsidRPr="00721026">
        <w:rPr>
          <w:rFonts w:cs="Arial"/>
        </w:rPr>
        <w:t xml:space="preserve">approximately five properties </w:t>
      </w:r>
      <w:r w:rsidRPr="00721026">
        <w:rPr>
          <w:rFonts w:cs="Arial"/>
        </w:rPr>
        <w:t xml:space="preserve">with high-quality natural resources or strong natural resource restoration potential for the </w:t>
      </w:r>
      <w:r w:rsidR="005349CE" w:rsidRPr="00721026">
        <w:rPr>
          <w:rFonts w:cs="Arial"/>
        </w:rPr>
        <w:t>m</w:t>
      </w:r>
      <w:r w:rsidRPr="00721026">
        <w:rPr>
          <w:rFonts w:cs="Arial"/>
        </w:rPr>
        <w:t xml:space="preserve">etropolitan </w:t>
      </w:r>
      <w:r w:rsidR="00BA5579" w:rsidRPr="00721026">
        <w:rPr>
          <w:rFonts w:cs="Arial"/>
        </w:rPr>
        <w:t>Regional Parks System.</w:t>
      </w:r>
      <w:r w:rsidR="00FA65CE" w:rsidRPr="00721026">
        <w:rPr>
          <w:rFonts w:cs="Arial"/>
        </w:rPr>
        <w:t xml:space="preserve"> </w:t>
      </w:r>
      <w:r w:rsidR="006B6B48">
        <w:rPr>
          <w:rFonts w:cs="Arial"/>
        </w:rPr>
        <w:t xml:space="preserve">This system serves as the State Parks System of the </w:t>
      </w:r>
      <w:r w:rsidR="00C34555">
        <w:rPr>
          <w:rFonts w:cs="Arial"/>
        </w:rPr>
        <w:t>m</w:t>
      </w:r>
      <w:r w:rsidR="006B6B48">
        <w:rPr>
          <w:rFonts w:cs="Arial"/>
        </w:rPr>
        <w:t xml:space="preserve">etropolitan area, offering large-scale, natural-resource based recreation opportunities to all Minnesotans. </w:t>
      </w:r>
      <w:r w:rsidR="008C57FA" w:rsidRPr="00721026">
        <w:rPr>
          <w:rFonts w:cs="Arial"/>
        </w:rPr>
        <w:t xml:space="preserve">The properties </w:t>
      </w:r>
      <w:r w:rsidR="000F76B0">
        <w:rPr>
          <w:rFonts w:cs="Arial"/>
        </w:rPr>
        <w:t xml:space="preserve">included in this proposal </w:t>
      </w:r>
      <w:r w:rsidR="008C57FA" w:rsidRPr="00721026">
        <w:rPr>
          <w:rFonts w:cs="Arial"/>
        </w:rPr>
        <w:t xml:space="preserve">offer a broad range of ecological significance, from </w:t>
      </w:r>
      <w:r w:rsidR="00FA65CE" w:rsidRPr="00721026">
        <w:rPr>
          <w:rFonts w:cs="Arial"/>
        </w:rPr>
        <w:t>native prairie, wetland, river bluffs</w:t>
      </w:r>
      <w:r w:rsidR="002C745C" w:rsidRPr="00721026">
        <w:rPr>
          <w:rFonts w:cs="Arial"/>
        </w:rPr>
        <w:t xml:space="preserve"> and</w:t>
      </w:r>
      <w:r w:rsidR="00FA65CE" w:rsidRPr="00721026">
        <w:rPr>
          <w:rFonts w:cs="Arial"/>
        </w:rPr>
        <w:t xml:space="preserve"> ravines, shoreline, </w:t>
      </w:r>
      <w:r w:rsidR="005022A5" w:rsidRPr="00721026">
        <w:rPr>
          <w:rFonts w:cs="Arial"/>
        </w:rPr>
        <w:t xml:space="preserve">and </w:t>
      </w:r>
      <w:r w:rsidR="00FA65CE" w:rsidRPr="00721026">
        <w:rPr>
          <w:rFonts w:cs="Arial"/>
        </w:rPr>
        <w:t>agricultur</w:t>
      </w:r>
      <w:r w:rsidR="005022A5" w:rsidRPr="00721026">
        <w:rPr>
          <w:rFonts w:cs="Arial"/>
        </w:rPr>
        <w:t>al land</w:t>
      </w:r>
      <w:r w:rsidR="008C57FA" w:rsidRPr="00721026">
        <w:rPr>
          <w:rFonts w:cs="Arial"/>
        </w:rPr>
        <w:t xml:space="preserve"> to</w:t>
      </w:r>
      <w:r w:rsidR="005022A5" w:rsidRPr="00721026">
        <w:rPr>
          <w:rFonts w:cs="Arial"/>
        </w:rPr>
        <w:t xml:space="preserve"> </w:t>
      </w:r>
      <w:r w:rsidR="008C57FA" w:rsidRPr="00721026">
        <w:rPr>
          <w:rFonts w:cs="Arial"/>
        </w:rPr>
        <w:t xml:space="preserve">an </w:t>
      </w:r>
      <w:r w:rsidR="005022A5" w:rsidRPr="00721026">
        <w:rPr>
          <w:rFonts w:cs="Arial"/>
        </w:rPr>
        <w:t xml:space="preserve">urban property </w:t>
      </w:r>
      <w:r w:rsidR="008C57FA" w:rsidRPr="00721026">
        <w:rPr>
          <w:rFonts w:cs="Arial"/>
        </w:rPr>
        <w:t xml:space="preserve">along the </w:t>
      </w:r>
      <w:r w:rsidR="005022A5" w:rsidRPr="00721026">
        <w:rPr>
          <w:rFonts w:cs="Arial"/>
        </w:rPr>
        <w:t>Mississippi River</w:t>
      </w:r>
      <w:r w:rsidR="008C57FA" w:rsidRPr="00721026">
        <w:rPr>
          <w:rFonts w:cs="Arial"/>
        </w:rPr>
        <w:t xml:space="preserve">. </w:t>
      </w:r>
    </w:p>
    <w:p w14:paraId="0E14B964" w14:textId="20451AE8" w:rsidR="005349CE" w:rsidRPr="00721026" w:rsidRDefault="00721026" w:rsidP="00A21207">
      <w:pPr>
        <w:widowControl w:val="0"/>
        <w:spacing w:before="80" w:after="120"/>
        <w:rPr>
          <w:rFonts w:cs="Arial"/>
        </w:rPr>
      </w:pPr>
      <w:r w:rsidRPr="00721026">
        <w:rPr>
          <w:rFonts w:cs="Arial"/>
        </w:rPr>
        <w:t xml:space="preserve">Many of these properties are at risk of being developed if they are not acquired for the Regional Parks System. </w:t>
      </w:r>
      <w:r w:rsidR="008C57FA" w:rsidRPr="00721026">
        <w:rPr>
          <w:rFonts w:cs="Arial"/>
        </w:rPr>
        <w:t xml:space="preserve">The project </w:t>
      </w:r>
      <w:r w:rsidR="0077266D" w:rsidRPr="00721026">
        <w:rPr>
          <w:rFonts w:cs="Arial"/>
        </w:rPr>
        <w:t xml:space="preserve">will </w:t>
      </w:r>
      <w:r w:rsidR="003F65A4" w:rsidRPr="00721026">
        <w:rPr>
          <w:rFonts w:cs="Arial"/>
        </w:rPr>
        <w:t xml:space="preserve">contribute to </w:t>
      </w:r>
      <w:r w:rsidR="006B6B48">
        <w:rPr>
          <w:rFonts w:cs="Arial"/>
        </w:rPr>
        <w:t xml:space="preserve">the </w:t>
      </w:r>
      <w:r w:rsidR="008C57FA" w:rsidRPr="00721026">
        <w:rPr>
          <w:rFonts w:cs="Arial"/>
        </w:rPr>
        <w:t xml:space="preserve">equitable </w:t>
      </w:r>
      <w:r w:rsidR="006B6B48">
        <w:rPr>
          <w:rFonts w:cs="Arial"/>
        </w:rPr>
        <w:t xml:space="preserve">use of the Regional Parks System by increasing </w:t>
      </w:r>
      <w:r w:rsidR="008C57FA" w:rsidRPr="00721026">
        <w:rPr>
          <w:rFonts w:cs="Arial"/>
        </w:rPr>
        <w:t xml:space="preserve">access </w:t>
      </w:r>
      <w:r w:rsidR="006B6B48">
        <w:rPr>
          <w:rFonts w:cs="Arial"/>
        </w:rPr>
        <w:t>and</w:t>
      </w:r>
      <w:r w:rsidR="006B6B48" w:rsidRPr="00721026">
        <w:rPr>
          <w:rFonts w:cs="Arial"/>
        </w:rPr>
        <w:t xml:space="preserve"> </w:t>
      </w:r>
      <w:r w:rsidR="008C57FA" w:rsidRPr="00721026">
        <w:rPr>
          <w:rFonts w:cs="Arial"/>
        </w:rPr>
        <w:t xml:space="preserve">protecting properties </w:t>
      </w:r>
      <w:r w:rsidR="003F65A4" w:rsidRPr="00721026">
        <w:rPr>
          <w:rFonts w:cs="Arial"/>
        </w:rPr>
        <w:t xml:space="preserve">for public use </w:t>
      </w:r>
      <w:r w:rsidR="00BA5579" w:rsidRPr="00721026">
        <w:rPr>
          <w:rFonts w:cs="Arial"/>
        </w:rPr>
        <w:t>in Carver, Dakota, Hennepin, Ramsey, Scott, and Washington Counties</w:t>
      </w:r>
      <w:r w:rsidR="006B6B48">
        <w:rPr>
          <w:rFonts w:cs="Arial"/>
        </w:rPr>
        <w:t xml:space="preserve"> in perpetuity</w:t>
      </w:r>
      <w:r w:rsidR="00BA5579" w:rsidRPr="00721026">
        <w:rPr>
          <w:rFonts w:cs="Arial"/>
        </w:rPr>
        <w:t xml:space="preserve">. </w:t>
      </w:r>
      <w:r w:rsidR="005349CE" w:rsidRPr="00721026">
        <w:rPr>
          <w:rFonts w:cs="Arial"/>
          <w:bCs/>
          <w:color w:val="000000"/>
        </w:rPr>
        <w:t xml:space="preserve">Some of the </w:t>
      </w:r>
      <w:r w:rsidR="005349CE" w:rsidRPr="00721026">
        <w:rPr>
          <w:rFonts w:cs="Arial"/>
        </w:rPr>
        <w:t>properties would help assemble the land for regional parks or trails that are not currently open to the public; other</w:t>
      </w:r>
      <w:r w:rsidR="006B6B48">
        <w:rPr>
          <w:rFonts w:cs="Arial"/>
        </w:rPr>
        <w:t>s</w:t>
      </w:r>
      <w:r w:rsidR="005349CE" w:rsidRPr="00721026">
        <w:rPr>
          <w:rFonts w:cs="Arial"/>
        </w:rPr>
        <w:t xml:space="preserve"> would purchase inholdings for regional parks or trails that are open to the public. </w:t>
      </w:r>
    </w:p>
    <w:p w14:paraId="2D3F1A37" w14:textId="11F3656B" w:rsidR="00BC5311" w:rsidRPr="00721026" w:rsidRDefault="00BC5311" w:rsidP="00A21207">
      <w:pPr>
        <w:widowControl w:val="0"/>
        <w:spacing w:before="80" w:after="120"/>
        <w:rPr>
          <w:rFonts w:cs="Arial"/>
        </w:rPr>
      </w:pPr>
      <w:r w:rsidRPr="00721026">
        <w:rPr>
          <w:rFonts w:cs="Arial"/>
        </w:rPr>
        <w:t>The metropolitan Regional Parks System is owned and operated by the ten Regional Parks Implementing Agencies (Agencies)</w:t>
      </w:r>
      <w:r w:rsidR="00721026" w:rsidRPr="00721026">
        <w:rPr>
          <w:rFonts w:cs="Arial"/>
        </w:rPr>
        <w:t xml:space="preserve"> identified in </w:t>
      </w:r>
      <w:hyperlink r:id="rId7" w:history="1">
        <w:r w:rsidR="00721026" w:rsidRPr="00721026">
          <w:rPr>
            <w:rStyle w:val="Hyperlink"/>
            <w:rFonts w:cs="Arial"/>
          </w:rPr>
          <w:t>Minnesota Statutes, section 473.351</w:t>
        </w:r>
      </w:hyperlink>
      <w:r w:rsidRPr="00721026">
        <w:rPr>
          <w:rFonts w:cs="Arial"/>
        </w:rPr>
        <w:t>. Working with the Agencies, the Council has compiled a list of 30 properties that may potentially be acquired between July 1, 2020 and June 30, 2023. The parcels range in size from 2.93 acres to 110 acres</w:t>
      </w:r>
      <w:r w:rsidR="00721026" w:rsidRPr="00721026">
        <w:rPr>
          <w:rFonts w:cs="Arial"/>
        </w:rPr>
        <w:t xml:space="preserve">. Some of these properties are under active negotiation; for others, the sellers have expressed an interest in selling to the Agency or are aware of the Agency’s interest. Because the timing is uncertain as to when properties will be available from willing sellers, this proposal builds a property pool which allows Agencies to capitalize on opportunities as they arise. </w:t>
      </w:r>
    </w:p>
    <w:p w14:paraId="159065F5" w14:textId="77777777" w:rsidR="006E0EFD" w:rsidRPr="00721026" w:rsidRDefault="006E0EFD" w:rsidP="00721026">
      <w:pPr>
        <w:spacing w:before="240" w:after="120"/>
        <w:rPr>
          <w:rFonts w:cs="Arial"/>
        </w:rPr>
      </w:pPr>
      <w:r w:rsidRPr="00721026">
        <w:rPr>
          <w:rFonts w:cs="Arial"/>
          <w:b/>
        </w:rPr>
        <w:t xml:space="preserve">II. PROJECT </w:t>
      </w:r>
      <w:r w:rsidR="00A13F26" w:rsidRPr="00721026">
        <w:rPr>
          <w:rFonts w:cs="Arial"/>
          <w:b/>
        </w:rPr>
        <w:t>ACTIVIT</w:t>
      </w:r>
      <w:r w:rsidR="00533120" w:rsidRPr="00721026">
        <w:rPr>
          <w:rFonts w:cs="Arial"/>
          <w:b/>
        </w:rPr>
        <w:t>I</w:t>
      </w:r>
      <w:r w:rsidR="00A13F26" w:rsidRPr="00721026">
        <w:rPr>
          <w:rFonts w:cs="Arial"/>
          <w:b/>
        </w:rPr>
        <w:t>ES</w:t>
      </w:r>
      <w:r w:rsidR="00614DF2" w:rsidRPr="00721026">
        <w:rPr>
          <w:rFonts w:cs="Arial"/>
          <w:b/>
        </w:rPr>
        <w:t xml:space="preserve"> AND OUTCOMES</w:t>
      </w:r>
    </w:p>
    <w:tbl>
      <w:tblPr>
        <w:tblW w:w="10476" w:type="dxa"/>
        <w:tblLook w:val="04A0" w:firstRow="1" w:lastRow="0" w:firstColumn="1" w:lastColumn="0" w:noHBand="0" w:noVBand="1"/>
      </w:tblPr>
      <w:tblGrid>
        <w:gridCol w:w="10075"/>
        <w:gridCol w:w="401"/>
      </w:tblGrid>
      <w:tr w:rsidR="00686B53" w:rsidRPr="00721026" w14:paraId="41265FF4" w14:textId="77777777" w:rsidTr="00721026">
        <w:tc>
          <w:tcPr>
            <w:tcW w:w="10075" w:type="dxa"/>
          </w:tcPr>
          <w:p w14:paraId="39820408" w14:textId="56609CE6" w:rsidR="008A5FD9" w:rsidRPr="00721026" w:rsidRDefault="00686B53" w:rsidP="00A21207">
            <w:pPr>
              <w:widowControl w:val="0"/>
              <w:spacing w:after="120"/>
              <w:rPr>
                <w:rFonts w:cs="Arial"/>
                <w:b/>
              </w:rPr>
            </w:pPr>
            <w:r w:rsidRPr="00721026">
              <w:rPr>
                <w:rFonts w:cs="Arial"/>
                <w:b/>
              </w:rPr>
              <w:t>Activity 1</w:t>
            </w:r>
            <w:r w:rsidR="008A5FD9" w:rsidRPr="00721026">
              <w:rPr>
                <w:rFonts w:cs="Arial"/>
                <w:b/>
              </w:rPr>
              <w:t xml:space="preserve"> Title</w:t>
            </w:r>
            <w:r w:rsidRPr="00721026">
              <w:rPr>
                <w:rFonts w:cs="Arial"/>
                <w:b/>
              </w:rPr>
              <w:t>:</w:t>
            </w:r>
            <w:r w:rsidR="00633ACB" w:rsidRPr="00721026">
              <w:rPr>
                <w:rFonts w:cs="Arial"/>
                <w:b/>
              </w:rPr>
              <w:t xml:space="preserve"> Acquisition of properties </w:t>
            </w:r>
          </w:p>
          <w:p w14:paraId="4DEF6E39" w14:textId="7A02D8EA" w:rsidR="005349CE" w:rsidRPr="00721026" w:rsidRDefault="008A5FD9" w:rsidP="00721026">
            <w:pPr>
              <w:widowControl w:val="0"/>
              <w:spacing w:after="120"/>
              <w:rPr>
                <w:rFonts w:cs="Arial"/>
              </w:rPr>
            </w:pPr>
            <w:r w:rsidRPr="00721026">
              <w:rPr>
                <w:rFonts w:cs="Arial"/>
                <w:b/>
              </w:rPr>
              <w:t>Description:</w:t>
            </w:r>
            <w:r w:rsidR="00686B53" w:rsidRPr="00721026">
              <w:rPr>
                <w:rFonts w:cs="Arial"/>
                <w:i/>
              </w:rPr>
              <w:t xml:space="preserve"> </w:t>
            </w:r>
            <w:r w:rsidR="005349CE" w:rsidRPr="00721026">
              <w:rPr>
                <w:rFonts w:cs="Arial"/>
              </w:rPr>
              <w:t xml:space="preserve">The Agencies individually negotiate each acquisition. After they have </w:t>
            </w:r>
            <w:r w:rsidR="00721026">
              <w:rPr>
                <w:rFonts w:cs="Arial"/>
              </w:rPr>
              <w:t xml:space="preserve">obtained </w:t>
            </w:r>
            <w:r w:rsidR="005349CE" w:rsidRPr="00721026">
              <w:rPr>
                <w:rFonts w:cs="Arial"/>
              </w:rPr>
              <w:t xml:space="preserve">a signed purchase agreement, a certified appraisal, and a resolution of support from their elected boards, the Agencies submit a grant request to the Metropolitan Council. </w:t>
            </w:r>
          </w:p>
          <w:p w14:paraId="70EF53CF" w14:textId="07131181" w:rsidR="005349CE" w:rsidRPr="00721026" w:rsidRDefault="005349CE" w:rsidP="00721026">
            <w:pPr>
              <w:widowControl w:val="0"/>
              <w:spacing w:after="120"/>
              <w:rPr>
                <w:rFonts w:cs="Arial"/>
              </w:rPr>
            </w:pPr>
            <w:r w:rsidRPr="00721026">
              <w:rPr>
                <w:rFonts w:cs="Arial"/>
              </w:rPr>
              <w:t xml:space="preserve">The Council serves as the fiscal agent and awards grants to the Agencies to assist with buying property for the metropolitan Regional Parks System through its Park Acquisition Opportunity Fund (PAOF) program. The PAOF program has three major funding sources: ENRTF, Parks and Trails Legacy Fund (Legacy), and matching dollars. Agencies </w:t>
            </w:r>
            <w:r w:rsidR="005F678D" w:rsidRPr="00721026">
              <w:rPr>
                <w:rFonts w:cs="Arial"/>
              </w:rPr>
              <w:t xml:space="preserve">must </w:t>
            </w:r>
            <w:r w:rsidRPr="00721026">
              <w:rPr>
                <w:rFonts w:cs="Arial"/>
              </w:rPr>
              <w:t xml:space="preserve">provide at least 25% of acquisition costs from non-state funds. PAOF is </w:t>
            </w:r>
            <w:r w:rsidR="005F678D" w:rsidRPr="00721026">
              <w:rPr>
                <w:rFonts w:cs="Arial"/>
              </w:rPr>
              <w:t xml:space="preserve">administered as </w:t>
            </w:r>
            <w:r w:rsidRPr="00721026">
              <w:rPr>
                <w:rFonts w:cs="Arial"/>
              </w:rPr>
              <w:t>“first-come, first-served.”</w:t>
            </w:r>
          </w:p>
          <w:p w14:paraId="42330D3A" w14:textId="46641707" w:rsidR="00BC5311" w:rsidRPr="00721026" w:rsidRDefault="005349CE" w:rsidP="00721026">
            <w:pPr>
              <w:widowControl w:val="0"/>
              <w:spacing w:after="120"/>
              <w:rPr>
                <w:rFonts w:cs="Arial"/>
              </w:rPr>
            </w:pPr>
            <w:r w:rsidRPr="00721026">
              <w:rPr>
                <w:rFonts w:cs="Arial"/>
              </w:rPr>
              <w:t xml:space="preserve">In accordance with </w:t>
            </w:r>
            <w:hyperlink r:id="rId8" w:history="1">
              <w:r w:rsidRPr="00721026">
                <w:rPr>
                  <w:rStyle w:val="Hyperlink"/>
                  <w:rFonts w:cs="Arial"/>
                </w:rPr>
                <w:t>Minnesota Statutes, section 473.313</w:t>
              </w:r>
            </w:hyperlink>
            <w:r w:rsidRPr="00721026">
              <w:rPr>
                <w:rFonts w:cs="Arial"/>
              </w:rPr>
              <w:t xml:space="preserve">, the Council first reviews the application to confirm that the property is with the boundaries of a Council-approved regional park or trail master plan. </w:t>
            </w:r>
            <w:r w:rsidR="000D7CA7" w:rsidRPr="00721026">
              <w:rPr>
                <w:rFonts w:cs="Arial"/>
              </w:rPr>
              <w:t xml:space="preserve">The </w:t>
            </w:r>
            <w:r w:rsidRPr="00721026">
              <w:rPr>
                <w:rFonts w:cs="Arial"/>
              </w:rPr>
              <w:t xml:space="preserve">Council then conducts an administrative review of the appraisal and other proposed acquisition-related costs. If all elements of the purchase conform to ENRTF requirements, the staff presents the item for approval by the Metropolitan Parks and Open Space Commission (MPOSC), as required by </w:t>
            </w:r>
            <w:hyperlink r:id="rId9" w:history="1">
              <w:r w:rsidRPr="00721026">
                <w:rPr>
                  <w:rStyle w:val="Hyperlink"/>
                  <w:rFonts w:cs="Arial"/>
                </w:rPr>
                <w:t>Minnesota Statutes, section 473.315</w:t>
              </w:r>
            </w:hyperlink>
            <w:r w:rsidRPr="00721026">
              <w:rPr>
                <w:rFonts w:cs="Arial"/>
              </w:rPr>
              <w:t xml:space="preserve">. Next, the Community Development Committee and the full Council consider the item for approval. Agencies are then able to close on the property. </w:t>
            </w:r>
          </w:p>
          <w:p w14:paraId="2E7FE662" w14:textId="4B59BD0C" w:rsidR="005349CE" w:rsidRPr="00721026" w:rsidRDefault="005349CE" w:rsidP="00721026">
            <w:pPr>
              <w:widowControl w:val="0"/>
              <w:spacing w:after="120"/>
              <w:rPr>
                <w:rFonts w:cs="Arial"/>
              </w:rPr>
            </w:pPr>
            <w:r w:rsidRPr="00721026">
              <w:rPr>
                <w:rFonts w:cs="Arial"/>
              </w:rPr>
              <w:t>After the grant agreement is executed</w:t>
            </w:r>
            <w:r w:rsidR="00721026">
              <w:rPr>
                <w:rFonts w:cs="Arial"/>
              </w:rPr>
              <w:t>,</w:t>
            </w:r>
            <w:r w:rsidRPr="00721026">
              <w:rPr>
                <w:rFonts w:cs="Arial"/>
              </w:rPr>
              <w:t xml:space="preserve"> the necessary amount of ENRTF funding and the Council’s match have been properly </w:t>
            </w:r>
            <w:r w:rsidR="00721026">
              <w:rPr>
                <w:rFonts w:cs="Arial"/>
              </w:rPr>
              <w:t xml:space="preserve">added to </w:t>
            </w:r>
            <w:r w:rsidRPr="00721026">
              <w:rPr>
                <w:rFonts w:cs="Arial"/>
              </w:rPr>
              <w:t>the Council’s Authorized Capital Program, and upon receipt of a properly substantiated claim, the Council reimburses the Agency for approved costs. It is the Council’s practice to require Agencies to spend down their match on eligible ancillary costs, such as the appraisal</w:t>
            </w:r>
            <w:r w:rsidR="00A21207">
              <w:rPr>
                <w:rFonts w:cs="Arial"/>
              </w:rPr>
              <w:t>, title search</w:t>
            </w:r>
            <w:r w:rsidRPr="00721026">
              <w:rPr>
                <w:rFonts w:cs="Arial"/>
              </w:rPr>
              <w:t xml:space="preserve"> </w:t>
            </w:r>
            <w:r w:rsidR="00BC5311" w:rsidRPr="00721026">
              <w:rPr>
                <w:rFonts w:cs="Arial"/>
              </w:rPr>
              <w:t xml:space="preserve">or </w:t>
            </w:r>
            <w:r w:rsidRPr="00721026">
              <w:rPr>
                <w:rFonts w:cs="Arial"/>
              </w:rPr>
              <w:lastRenderedPageBreak/>
              <w:t>closing</w:t>
            </w:r>
            <w:r w:rsidR="00A21207">
              <w:rPr>
                <w:rFonts w:cs="Arial"/>
              </w:rPr>
              <w:t xml:space="preserve"> costs</w:t>
            </w:r>
            <w:r w:rsidRPr="00721026">
              <w:rPr>
                <w:rFonts w:cs="Arial"/>
              </w:rPr>
              <w:t xml:space="preserve">, so that </w:t>
            </w:r>
            <w:r w:rsidR="00A21207">
              <w:rPr>
                <w:rFonts w:cs="Arial"/>
              </w:rPr>
              <w:t xml:space="preserve">the </w:t>
            </w:r>
            <w:r w:rsidRPr="00721026">
              <w:rPr>
                <w:rFonts w:cs="Arial"/>
              </w:rPr>
              <w:t xml:space="preserve">Council’s reimbursement request to LCCMR includes only a portion of the purchase price. </w:t>
            </w:r>
          </w:p>
          <w:p w14:paraId="1986025A" w14:textId="17BB577D" w:rsidR="00CC2587" w:rsidRPr="00721026" w:rsidRDefault="000B646C" w:rsidP="00721026">
            <w:pPr>
              <w:widowControl w:val="0"/>
              <w:spacing w:after="120"/>
              <w:rPr>
                <w:rFonts w:cs="Arial"/>
              </w:rPr>
            </w:pPr>
            <w:r w:rsidRPr="00721026">
              <w:rPr>
                <w:rFonts w:cs="Arial"/>
              </w:rPr>
              <w:t xml:space="preserve">The Council is requesting $2.5 million in ENRTF funds, which it would more than double with $1.66 million in matching Council bonds and $1.39 million in Agency funds, for a total of $5.5 million. </w:t>
            </w:r>
            <w:r w:rsidR="00EE54C3" w:rsidRPr="00721026">
              <w:rPr>
                <w:rFonts w:cs="Arial"/>
              </w:rPr>
              <w:t xml:space="preserve">The total estimated cost to acquire all 30 properties is more than $17 million. </w:t>
            </w:r>
          </w:p>
          <w:p w14:paraId="788EDF1A" w14:textId="78263A19" w:rsidR="005E61F2" w:rsidRPr="00721026" w:rsidRDefault="00A4104E" w:rsidP="00721026">
            <w:pPr>
              <w:widowControl w:val="0"/>
              <w:spacing w:after="120"/>
              <w:rPr>
                <w:rFonts w:cs="Arial"/>
              </w:rPr>
            </w:pPr>
            <w:r w:rsidRPr="00721026">
              <w:rPr>
                <w:rFonts w:cs="Arial"/>
              </w:rPr>
              <w:t>Some of these properties do contain residences; t</w:t>
            </w:r>
            <w:r w:rsidR="005E61F2" w:rsidRPr="00721026">
              <w:rPr>
                <w:rFonts w:cs="Arial"/>
              </w:rPr>
              <w:t xml:space="preserve">he Council </w:t>
            </w:r>
            <w:r w:rsidR="00234AC8" w:rsidRPr="00721026">
              <w:rPr>
                <w:rFonts w:cs="Arial"/>
              </w:rPr>
              <w:t>and Agency staff have</w:t>
            </w:r>
            <w:r w:rsidR="005E61F2" w:rsidRPr="00721026">
              <w:rPr>
                <w:rFonts w:cs="Arial"/>
              </w:rPr>
              <w:t xml:space="preserve"> reviewed e</w:t>
            </w:r>
            <w:r w:rsidRPr="00721026">
              <w:rPr>
                <w:rFonts w:cs="Arial"/>
              </w:rPr>
              <w:t xml:space="preserve">ach of them </w:t>
            </w:r>
            <w:r w:rsidR="005E61F2" w:rsidRPr="00721026">
              <w:rPr>
                <w:rFonts w:cs="Arial"/>
              </w:rPr>
              <w:t>to ensure that the property can be split in a logical and reasonable manner</w:t>
            </w:r>
            <w:r w:rsidR="00234AC8" w:rsidRPr="00721026">
              <w:rPr>
                <w:rFonts w:cs="Arial"/>
              </w:rPr>
              <w:t xml:space="preserve"> so that ENRTF funds </w:t>
            </w:r>
            <w:r w:rsidRPr="00721026">
              <w:rPr>
                <w:rFonts w:cs="Arial"/>
              </w:rPr>
              <w:t>the portion without a house</w:t>
            </w:r>
            <w:r w:rsidR="00234AC8" w:rsidRPr="00721026">
              <w:rPr>
                <w:rFonts w:cs="Arial"/>
              </w:rPr>
              <w:t xml:space="preserve">. </w:t>
            </w:r>
          </w:p>
          <w:p w14:paraId="05AECF9B" w14:textId="6E5FCFCD" w:rsidR="005431D4" w:rsidRPr="00721026" w:rsidRDefault="00BC5311" w:rsidP="00721026">
            <w:pPr>
              <w:keepNext/>
              <w:keepLines/>
              <w:autoSpaceDE w:val="0"/>
              <w:autoSpaceDN w:val="0"/>
              <w:adjustRightInd w:val="0"/>
              <w:rPr>
                <w:sz w:val="18"/>
                <w:szCs w:val="18"/>
              </w:rPr>
            </w:pPr>
            <w:r w:rsidRPr="00721026">
              <w:rPr>
                <w:rFonts w:cs="Arial"/>
                <w:b/>
                <w:bCs/>
                <w:color w:val="000000"/>
              </w:rPr>
              <w:t>ENRTF BUDGET: $2,500,000</w:t>
            </w:r>
          </w:p>
        </w:tc>
        <w:tc>
          <w:tcPr>
            <w:tcW w:w="401" w:type="dxa"/>
          </w:tcPr>
          <w:p w14:paraId="1E5F17F2" w14:textId="77777777" w:rsidR="00686B53" w:rsidRPr="00721026" w:rsidRDefault="00686B53" w:rsidP="00351EA6">
            <w:pPr>
              <w:rPr>
                <w:rFonts w:cs="Arial"/>
              </w:rPr>
            </w:pPr>
          </w:p>
        </w:tc>
      </w:tr>
    </w:tbl>
    <w:p w14:paraId="6B49CE9E" w14:textId="77777777" w:rsidR="00BC5311" w:rsidRPr="00721026" w:rsidRDefault="00BC5311">
      <w:pPr>
        <w:rPr>
          <w:sz w:val="6"/>
          <w:szCs w:val="4"/>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515"/>
      </w:tblGrid>
      <w:tr w:rsidR="006E0EFD" w:rsidRPr="00721026" w14:paraId="4A01D3DE" w14:textId="77777777" w:rsidTr="00A944E9">
        <w:trPr>
          <w:tblHeader/>
        </w:trPr>
        <w:tc>
          <w:tcPr>
            <w:tcW w:w="7560" w:type="dxa"/>
          </w:tcPr>
          <w:p w14:paraId="2C23EF9A" w14:textId="77777777" w:rsidR="006E0EFD" w:rsidRPr="00721026" w:rsidRDefault="00A13F26" w:rsidP="00721026">
            <w:pPr>
              <w:keepNext/>
              <w:keepLines/>
              <w:rPr>
                <w:rFonts w:cs="Arial"/>
                <w:b/>
              </w:rPr>
            </w:pPr>
            <w:r w:rsidRPr="00721026">
              <w:rPr>
                <w:rFonts w:cs="Arial"/>
                <w:b/>
              </w:rPr>
              <w:t>Outcome</w:t>
            </w:r>
          </w:p>
        </w:tc>
        <w:tc>
          <w:tcPr>
            <w:tcW w:w="2515" w:type="dxa"/>
          </w:tcPr>
          <w:p w14:paraId="79ABAC67" w14:textId="77777777" w:rsidR="006E0EFD" w:rsidRPr="00721026" w:rsidRDefault="006E0EFD" w:rsidP="005F7237">
            <w:pPr>
              <w:jc w:val="center"/>
              <w:rPr>
                <w:rFonts w:cs="Arial"/>
                <w:b/>
              </w:rPr>
            </w:pPr>
            <w:r w:rsidRPr="00721026">
              <w:rPr>
                <w:rFonts w:cs="Arial"/>
                <w:b/>
              </w:rPr>
              <w:t>Completion Date</w:t>
            </w:r>
          </w:p>
        </w:tc>
      </w:tr>
      <w:tr w:rsidR="005F678D" w:rsidRPr="00721026" w14:paraId="515DCD5F" w14:textId="77777777" w:rsidTr="00A944E9">
        <w:tc>
          <w:tcPr>
            <w:tcW w:w="7560" w:type="dxa"/>
          </w:tcPr>
          <w:p w14:paraId="5BF36E42" w14:textId="7C7B5523" w:rsidR="005F678D" w:rsidRPr="00721026" w:rsidRDefault="005F678D" w:rsidP="008949EE">
            <w:pPr>
              <w:rPr>
                <w:rFonts w:cs="Arial"/>
                <w:i/>
              </w:rPr>
            </w:pPr>
            <w:r w:rsidRPr="00721026">
              <w:rPr>
                <w:rFonts w:cs="Arial"/>
                <w:i/>
              </w:rPr>
              <w:t xml:space="preserve">Request for proposals </w:t>
            </w:r>
          </w:p>
        </w:tc>
        <w:tc>
          <w:tcPr>
            <w:tcW w:w="2515" w:type="dxa"/>
          </w:tcPr>
          <w:p w14:paraId="24D9C4C0" w14:textId="77C3C6B8" w:rsidR="005F678D" w:rsidRPr="00721026" w:rsidRDefault="005F678D" w:rsidP="006E0EFD">
            <w:pPr>
              <w:rPr>
                <w:rFonts w:cs="Arial"/>
                <w:i/>
              </w:rPr>
            </w:pPr>
            <w:r w:rsidRPr="00721026">
              <w:rPr>
                <w:rFonts w:cs="Arial"/>
                <w:i/>
              </w:rPr>
              <w:t>January 31, 2019</w:t>
            </w:r>
          </w:p>
        </w:tc>
      </w:tr>
      <w:tr w:rsidR="002C745C" w:rsidRPr="00721026" w14:paraId="7BF77A83" w14:textId="77777777" w:rsidTr="00A944E9">
        <w:tc>
          <w:tcPr>
            <w:tcW w:w="7560" w:type="dxa"/>
          </w:tcPr>
          <w:p w14:paraId="294B0D48" w14:textId="0381B1EC" w:rsidR="002C745C" w:rsidRPr="00721026" w:rsidRDefault="002C745C" w:rsidP="008949EE">
            <w:pPr>
              <w:rPr>
                <w:rFonts w:cs="Arial"/>
                <w:i/>
              </w:rPr>
            </w:pPr>
            <w:r w:rsidRPr="00721026">
              <w:rPr>
                <w:rFonts w:cs="Arial"/>
                <w:i/>
              </w:rPr>
              <w:t>Agencies submit grant applications as properties become available</w:t>
            </w:r>
          </w:p>
        </w:tc>
        <w:tc>
          <w:tcPr>
            <w:tcW w:w="2515" w:type="dxa"/>
          </w:tcPr>
          <w:p w14:paraId="3F495966" w14:textId="4E896BEE" w:rsidR="002C745C" w:rsidRPr="00721026" w:rsidRDefault="002C745C" w:rsidP="006E0EFD">
            <w:pPr>
              <w:rPr>
                <w:rFonts w:cs="Arial"/>
                <w:i/>
              </w:rPr>
            </w:pPr>
            <w:r w:rsidRPr="00721026">
              <w:rPr>
                <w:rFonts w:cs="Arial"/>
                <w:i/>
              </w:rPr>
              <w:t>Ad hoc</w:t>
            </w:r>
          </w:p>
        </w:tc>
      </w:tr>
      <w:tr w:rsidR="002C745C" w:rsidRPr="00721026" w14:paraId="696F95EF" w14:textId="77777777" w:rsidTr="00A944E9">
        <w:tc>
          <w:tcPr>
            <w:tcW w:w="7560" w:type="dxa"/>
          </w:tcPr>
          <w:p w14:paraId="18DE520B" w14:textId="2E256D5C" w:rsidR="002C745C" w:rsidRPr="00721026" w:rsidRDefault="002C745C" w:rsidP="008949EE">
            <w:pPr>
              <w:rPr>
                <w:rFonts w:cs="Arial"/>
                <w:i/>
              </w:rPr>
            </w:pPr>
            <w:r w:rsidRPr="00721026">
              <w:rPr>
                <w:rFonts w:cs="Arial"/>
                <w:i/>
              </w:rPr>
              <w:t>Council reviews properties for inclusion in a Council-approved master plan</w:t>
            </w:r>
            <w:r w:rsidR="00BC5311" w:rsidRPr="00721026">
              <w:rPr>
                <w:rFonts w:cs="Arial"/>
                <w:i/>
              </w:rPr>
              <w:t>,</w:t>
            </w:r>
            <w:r w:rsidRPr="00721026">
              <w:rPr>
                <w:rFonts w:cs="Arial"/>
                <w:i/>
              </w:rPr>
              <w:t xml:space="preserve"> reviews proposals for completeness</w:t>
            </w:r>
            <w:r w:rsidR="00A944E9">
              <w:rPr>
                <w:rFonts w:cs="Arial"/>
                <w:i/>
              </w:rPr>
              <w:t xml:space="preserve"> and eligibility</w:t>
            </w:r>
            <w:r w:rsidR="00BC5311" w:rsidRPr="00721026">
              <w:rPr>
                <w:rFonts w:cs="Arial"/>
                <w:i/>
              </w:rPr>
              <w:t>, and awards grants</w:t>
            </w:r>
          </w:p>
        </w:tc>
        <w:tc>
          <w:tcPr>
            <w:tcW w:w="2515" w:type="dxa"/>
          </w:tcPr>
          <w:p w14:paraId="23FE2F76" w14:textId="47B2B4F7" w:rsidR="002C745C" w:rsidRPr="00721026" w:rsidRDefault="00A944E9" w:rsidP="006E0EFD">
            <w:pPr>
              <w:rPr>
                <w:rFonts w:cs="Arial"/>
                <w:i/>
              </w:rPr>
            </w:pPr>
            <w:r>
              <w:rPr>
                <w:rFonts w:cs="Arial"/>
                <w:i/>
              </w:rPr>
              <w:t>Generally within 2 months of application submittal</w:t>
            </w:r>
            <w:bookmarkStart w:id="0" w:name="_GoBack"/>
            <w:bookmarkEnd w:id="0"/>
          </w:p>
        </w:tc>
      </w:tr>
      <w:tr w:rsidR="002C745C" w:rsidRPr="00721026" w14:paraId="531E58A8" w14:textId="77777777" w:rsidTr="00A944E9">
        <w:tc>
          <w:tcPr>
            <w:tcW w:w="7560" w:type="dxa"/>
          </w:tcPr>
          <w:p w14:paraId="228D1423" w14:textId="6E0132EE" w:rsidR="002C745C" w:rsidRPr="00721026" w:rsidRDefault="002C745C" w:rsidP="008949EE">
            <w:pPr>
              <w:rPr>
                <w:rFonts w:cs="Arial"/>
                <w:i/>
              </w:rPr>
            </w:pPr>
            <w:r w:rsidRPr="00721026">
              <w:rPr>
                <w:rFonts w:cs="Arial"/>
                <w:i/>
              </w:rPr>
              <w:t>Agencies may close on properties</w:t>
            </w:r>
          </w:p>
        </w:tc>
        <w:tc>
          <w:tcPr>
            <w:tcW w:w="2515" w:type="dxa"/>
          </w:tcPr>
          <w:p w14:paraId="194A5151" w14:textId="71429711" w:rsidR="002C745C" w:rsidRPr="00721026" w:rsidRDefault="005F678D" w:rsidP="006E0EFD">
            <w:pPr>
              <w:rPr>
                <w:rFonts w:cs="Arial"/>
                <w:i/>
              </w:rPr>
            </w:pPr>
            <w:r w:rsidRPr="00721026">
              <w:rPr>
                <w:rFonts w:cs="Arial"/>
                <w:i/>
              </w:rPr>
              <w:t>After award</w:t>
            </w:r>
          </w:p>
        </w:tc>
      </w:tr>
      <w:tr w:rsidR="006E0EFD" w:rsidRPr="00721026" w14:paraId="37659136" w14:textId="77777777" w:rsidTr="00A944E9">
        <w:tc>
          <w:tcPr>
            <w:tcW w:w="7560" w:type="dxa"/>
          </w:tcPr>
          <w:p w14:paraId="4329CD94" w14:textId="28292C89" w:rsidR="006E0EFD" w:rsidRPr="00721026" w:rsidRDefault="00A4104E" w:rsidP="008949EE">
            <w:pPr>
              <w:rPr>
                <w:rFonts w:cs="Arial"/>
                <w:i/>
              </w:rPr>
            </w:pPr>
            <w:r w:rsidRPr="00721026">
              <w:rPr>
                <w:rFonts w:cs="Arial"/>
                <w:i/>
              </w:rPr>
              <w:t xml:space="preserve">Properties acquired for the Regional Parks System </w:t>
            </w:r>
            <w:r w:rsidR="00D301EB" w:rsidRPr="00721026">
              <w:rPr>
                <w:rFonts w:cs="Arial"/>
                <w:i/>
              </w:rPr>
              <w:t xml:space="preserve"> </w:t>
            </w:r>
          </w:p>
        </w:tc>
        <w:tc>
          <w:tcPr>
            <w:tcW w:w="2515" w:type="dxa"/>
          </w:tcPr>
          <w:p w14:paraId="35C0901E" w14:textId="77777777" w:rsidR="006E0EFD" w:rsidRPr="00721026" w:rsidRDefault="00BA2811" w:rsidP="006E0EFD">
            <w:pPr>
              <w:rPr>
                <w:rFonts w:cs="Arial"/>
                <w:i/>
              </w:rPr>
            </w:pPr>
            <w:r w:rsidRPr="00721026">
              <w:rPr>
                <w:rFonts w:cs="Arial"/>
                <w:i/>
              </w:rPr>
              <w:t>June 30, 2023</w:t>
            </w:r>
          </w:p>
        </w:tc>
      </w:tr>
    </w:tbl>
    <w:p w14:paraId="408826AF" w14:textId="0694C7E3" w:rsidR="005431D4" w:rsidRPr="00721026" w:rsidRDefault="00073C96" w:rsidP="00721026">
      <w:pPr>
        <w:tabs>
          <w:tab w:val="left" w:pos="540"/>
        </w:tabs>
        <w:autoSpaceDE w:val="0"/>
        <w:autoSpaceDN w:val="0"/>
        <w:adjustRightInd w:val="0"/>
        <w:spacing w:before="240" w:after="120"/>
        <w:rPr>
          <w:rFonts w:cs="Arial"/>
          <w:b/>
          <w:bCs/>
          <w:color w:val="000000"/>
        </w:rPr>
      </w:pPr>
      <w:r w:rsidRPr="00721026">
        <w:rPr>
          <w:rFonts w:cs="Arial"/>
          <w:b/>
          <w:bCs/>
          <w:color w:val="000000"/>
        </w:rPr>
        <w:t>III. PROJECT PARTNERS AND COLLABORATORS:</w:t>
      </w:r>
    </w:p>
    <w:tbl>
      <w:tblPr>
        <w:tblStyle w:val="TableGrid"/>
        <w:tblW w:w="0" w:type="auto"/>
        <w:jc w:val="center"/>
        <w:tblLook w:val="04A0" w:firstRow="1" w:lastRow="0" w:firstColumn="1" w:lastColumn="0" w:noHBand="0" w:noVBand="1"/>
      </w:tblPr>
      <w:tblGrid>
        <w:gridCol w:w="4315"/>
        <w:gridCol w:w="3600"/>
      </w:tblGrid>
      <w:tr w:rsidR="005349CE" w:rsidRPr="00721026" w14:paraId="32EF7D47" w14:textId="77777777" w:rsidTr="00721026">
        <w:trPr>
          <w:tblHeader/>
          <w:jc w:val="center"/>
        </w:trPr>
        <w:tc>
          <w:tcPr>
            <w:tcW w:w="4315" w:type="dxa"/>
          </w:tcPr>
          <w:p w14:paraId="46B966B7" w14:textId="77777777" w:rsidR="005349CE" w:rsidRPr="00721026" w:rsidRDefault="005349CE" w:rsidP="001F5914">
            <w:pPr>
              <w:keepNext/>
              <w:keepLines/>
              <w:rPr>
                <w:rFonts w:cs="Arial"/>
                <w:b/>
              </w:rPr>
            </w:pPr>
            <w:r w:rsidRPr="00721026">
              <w:rPr>
                <w:rFonts w:cs="Arial"/>
                <w:b/>
              </w:rPr>
              <w:t>Regional Park Implementing Agency</w:t>
            </w:r>
          </w:p>
        </w:tc>
        <w:tc>
          <w:tcPr>
            <w:tcW w:w="3600" w:type="dxa"/>
          </w:tcPr>
          <w:p w14:paraId="51A659CA" w14:textId="77777777" w:rsidR="005349CE" w:rsidRPr="00721026" w:rsidRDefault="005349CE" w:rsidP="006E0EFD">
            <w:pPr>
              <w:rPr>
                <w:rFonts w:cs="Arial"/>
                <w:b/>
              </w:rPr>
            </w:pPr>
            <w:r w:rsidRPr="00721026">
              <w:rPr>
                <w:rFonts w:cs="Arial"/>
                <w:b/>
              </w:rPr>
              <w:t>Contact name</w:t>
            </w:r>
          </w:p>
        </w:tc>
      </w:tr>
      <w:tr w:rsidR="005349CE" w:rsidRPr="00721026" w14:paraId="0FB15003" w14:textId="77777777" w:rsidTr="00721026">
        <w:trPr>
          <w:jc w:val="center"/>
        </w:trPr>
        <w:tc>
          <w:tcPr>
            <w:tcW w:w="4315" w:type="dxa"/>
          </w:tcPr>
          <w:p w14:paraId="28A5D028" w14:textId="77777777" w:rsidR="005349CE" w:rsidRPr="00721026" w:rsidRDefault="005349CE" w:rsidP="006E0EFD">
            <w:pPr>
              <w:rPr>
                <w:rFonts w:cs="Arial"/>
              </w:rPr>
            </w:pPr>
            <w:r w:rsidRPr="00721026">
              <w:rPr>
                <w:rFonts w:cs="Arial"/>
              </w:rPr>
              <w:t>Dakota County</w:t>
            </w:r>
          </w:p>
        </w:tc>
        <w:tc>
          <w:tcPr>
            <w:tcW w:w="3600" w:type="dxa"/>
          </w:tcPr>
          <w:p w14:paraId="7C2F4D51" w14:textId="77777777" w:rsidR="005349CE" w:rsidRPr="00721026" w:rsidRDefault="005349CE" w:rsidP="006E0EFD">
            <w:pPr>
              <w:rPr>
                <w:rFonts w:cs="Arial"/>
              </w:rPr>
            </w:pPr>
            <w:r w:rsidRPr="00721026">
              <w:rPr>
                <w:rFonts w:cs="Arial"/>
              </w:rPr>
              <w:t>Al Singer</w:t>
            </w:r>
          </w:p>
        </w:tc>
      </w:tr>
      <w:tr w:rsidR="005349CE" w:rsidRPr="00721026" w14:paraId="34FA4922" w14:textId="77777777" w:rsidTr="00721026">
        <w:trPr>
          <w:jc w:val="center"/>
        </w:trPr>
        <w:tc>
          <w:tcPr>
            <w:tcW w:w="4315" w:type="dxa"/>
          </w:tcPr>
          <w:p w14:paraId="20574421" w14:textId="77777777" w:rsidR="005349CE" w:rsidRPr="00721026" w:rsidRDefault="005349CE" w:rsidP="006E0EFD">
            <w:pPr>
              <w:rPr>
                <w:rFonts w:cs="Arial"/>
              </w:rPr>
            </w:pPr>
            <w:r w:rsidRPr="00721026">
              <w:rPr>
                <w:rFonts w:cs="Arial"/>
              </w:rPr>
              <w:t>Minneapolis Park and Recreation Board</w:t>
            </w:r>
          </w:p>
        </w:tc>
        <w:tc>
          <w:tcPr>
            <w:tcW w:w="3600" w:type="dxa"/>
          </w:tcPr>
          <w:p w14:paraId="4EDD72F0" w14:textId="77777777" w:rsidR="005349CE" w:rsidRPr="00721026" w:rsidRDefault="005349CE" w:rsidP="006E0EFD">
            <w:pPr>
              <w:rPr>
                <w:rFonts w:cs="Arial"/>
              </w:rPr>
            </w:pPr>
            <w:r w:rsidRPr="00721026">
              <w:rPr>
                <w:rFonts w:cs="Arial"/>
              </w:rPr>
              <w:t>Christine Downey</w:t>
            </w:r>
          </w:p>
        </w:tc>
      </w:tr>
      <w:tr w:rsidR="005349CE" w:rsidRPr="00721026" w14:paraId="7E83B4EB" w14:textId="77777777" w:rsidTr="00721026">
        <w:trPr>
          <w:jc w:val="center"/>
        </w:trPr>
        <w:tc>
          <w:tcPr>
            <w:tcW w:w="4315" w:type="dxa"/>
          </w:tcPr>
          <w:p w14:paraId="00D477DE" w14:textId="77777777" w:rsidR="005349CE" w:rsidRPr="00721026" w:rsidRDefault="005349CE" w:rsidP="006E0EFD">
            <w:pPr>
              <w:rPr>
                <w:rFonts w:cs="Arial"/>
              </w:rPr>
            </w:pPr>
            <w:r w:rsidRPr="00721026">
              <w:rPr>
                <w:rFonts w:cs="Arial"/>
              </w:rPr>
              <w:t>Ramsey County</w:t>
            </w:r>
          </w:p>
        </w:tc>
        <w:tc>
          <w:tcPr>
            <w:tcW w:w="3600" w:type="dxa"/>
          </w:tcPr>
          <w:p w14:paraId="7207434E" w14:textId="77777777" w:rsidR="005349CE" w:rsidRPr="00721026" w:rsidRDefault="005349CE" w:rsidP="006E0EFD">
            <w:pPr>
              <w:rPr>
                <w:rFonts w:cs="Arial"/>
              </w:rPr>
            </w:pPr>
            <w:r w:rsidRPr="00721026">
              <w:rPr>
                <w:rFonts w:cs="Arial"/>
              </w:rPr>
              <w:t>Scott Yonke</w:t>
            </w:r>
          </w:p>
        </w:tc>
      </w:tr>
      <w:tr w:rsidR="005349CE" w:rsidRPr="00721026" w14:paraId="6A818A7D" w14:textId="77777777" w:rsidTr="00721026">
        <w:trPr>
          <w:jc w:val="center"/>
        </w:trPr>
        <w:tc>
          <w:tcPr>
            <w:tcW w:w="4315" w:type="dxa"/>
          </w:tcPr>
          <w:p w14:paraId="1DC0931C" w14:textId="77777777" w:rsidR="005349CE" w:rsidRPr="00721026" w:rsidRDefault="005349CE" w:rsidP="006E0EFD">
            <w:pPr>
              <w:rPr>
                <w:rFonts w:cs="Arial"/>
              </w:rPr>
            </w:pPr>
            <w:r w:rsidRPr="00721026">
              <w:rPr>
                <w:rFonts w:cs="Arial"/>
              </w:rPr>
              <w:t>Scott County</w:t>
            </w:r>
          </w:p>
        </w:tc>
        <w:tc>
          <w:tcPr>
            <w:tcW w:w="3600" w:type="dxa"/>
          </w:tcPr>
          <w:p w14:paraId="7FD856D6" w14:textId="77777777" w:rsidR="005349CE" w:rsidRPr="00721026" w:rsidRDefault="005349CE" w:rsidP="006E0EFD">
            <w:pPr>
              <w:rPr>
                <w:rFonts w:cs="Arial"/>
              </w:rPr>
            </w:pPr>
            <w:r w:rsidRPr="00721026">
              <w:rPr>
                <w:rFonts w:cs="Arial"/>
              </w:rPr>
              <w:t>Patty Freeman</w:t>
            </w:r>
          </w:p>
        </w:tc>
      </w:tr>
      <w:tr w:rsidR="005349CE" w:rsidRPr="00721026" w14:paraId="70BF2833" w14:textId="77777777" w:rsidTr="00721026">
        <w:trPr>
          <w:jc w:val="center"/>
        </w:trPr>
        <w:tc>
          <w:tcPr>
            <w:tcW w:w="4315" w:type="dxa"/>
          </w:tcPr>
          <w:p w14:paraId="06AAC62A" w14:textId="77777777" w:rsidR="005349CE" w:rsidRPr="00721026" w:rsidRDefault="005349CE" w:rsidP="006E0EFD">
            <w:pPr>
              <w:rPr>
                <w:rFonts w:cs="Arial"/>
              </w:rPr>
            </w:pPr>
            <w:r w:rsidRPr="00721026">
              <w:rPr>
                <w:rFonts w:cs="Arial"/>
              </w:rPr>
              <w:t>Three Rivers Park District</w:t>
            </w:r>
          </w:p>
        </w:tc>
        <w:tc>
          <w:tcPr>
            <w:tcW w:w="3600" w:type="dxa"/>
          </w:tcPr>
          <w:p w14:paraId="6080EA2F" w14:textId="77777777" w:rsidR="005349CE" w:rsidRPr="00721026" w:rsidRDefault="005349CE" w:rsidP="006E0EFD">
            <w:pPr>
              <w:rPr>
                <w:rFonts w:cs="Arial"/>
              </w:rPr>
            </w:pPr>
            <w:r w:rsidRPr="00721026">
              <w:rPr>
                <w:rFonts w:cs="Arial"/>
              </w:rPr>
              <w:t>Kelly Grissman</w:t>
            </w:r>
          </w:p>
        </w:tc>
      </w:tr>
      <w:tr w:rsidR="005349CE" w:rsidRPr="00721026" w14:paraId="2A3D1515" w14:textId="77777777" w:rsidTr="00721026">
        <w:trPr>
          <w:jc w:val="center"/>
        </w:trPr>
        <w:tc>
          <w:tcPr>
            <w:tcW w:w="4315" w:type="dxa"/>
          </w:tcPr>
          <w:p w14:paraId="70761460" w14:textId="77777777" w:rsidR="005349CE" w:rsidRPr="00721026" w:rsidRDefault="005349CE" w:rsidP="006E0EFD">
            <w:pPr>
              <w:rPr>
                <w:rFonts w:cs="Arial"/>
              </w:rPr>
            </w:pPr>
            <w:r w:rsidRPr="00721026">
              <w:rPr>
                <w:rFonts w:cs="Arial"/>
              </w:rPr>
              <w:t>Washington County</w:t>
            </w:r>
          </w:p>
        </w:tc>
        <w:tc>
          <w:tcPr>
            <w:tcW w:w="3600" w:type="dxa"/>
          </w:tcPr>
          <w:p w14:paraId="7CF89DC8" w14:textId="77777777" w:rsidR="005349CE" w:rsidRPr="00721026" w:rsidRDefault="005349CE" w:rsidP="006E0EFD">
            <w:pPr>
              <w:rPr>
                <w:rFonts w:cs="Arial"/>
              </w:rPr>
            </w:pPr>
            <w:r w:rsidRPr="00721026">
              <w:rPr>
                <w:rFonts w:cs="Arial"/>
              </w:rPr>
              <w:t>Sharon Price</w:t>
            </w:r>
          </w:p>
        </w:tc>
      </w:tr>
    </w:tbl>
    <w:p w14:paraId="15613906" w14:textId="25AC675D" w:rsidR="00C02DAD" w:rsidRPr="00721026" w:rsidRDefault="005431D4" w:rsidP="00721026">
      <w:pPr>
        <w:keepNext/>
        <w:keepLines/>
        <w:tabs>
          <w:tab w:val="left" w:pos="540"/>
        </w:tabs>
        <w:autoSpaceDE w:val="0"/>
        <w:autoSpaceDN w:val="0"/>
        <w:adjustRightInd w:val="0"/>
        <w:spacing w:before="240" w:after="120"/>
        <w:rPr>
          <w:rFonts w:cs="Arial"/>
          <w:b/>
          <w:bCs/>
          <w:color w:val="000000"/>
        </w:rPr>
      </w:pPr>
      <w:r w:rsidRPr="00721026">
        <w:rPr>
          <w:rFonts w:cs="Arial"/>
          <w:b/>
          <w:bCs/>
          <w:color w:val="000000"/>
        </w:rPr>
        <w:t xml:space="preserve">IV. </w:t>
      </w:r>
      <w:r w:rsidRPr="00721026">
        <w:rPr>
          <w:rFonts w:cs="Arial"/>
          <w:b/>
          <w:bCs/>
          <w:color w:val="000000"/>
        </w:rPr>
        <w:tab/>
      </w:r>
      <w:r w:rsidR="00AB6CFF" w:rsidRPr="00721026">
        <w:rPr>
          <w:rFonts w:cs="Arial"/>
          <w:b/>
          <w:bCs/>
          <w:color w:val="000000"/>
        </w:rPr>
        <w:t>LONG-TERM</w:t>
      </w:r>
      <w:r w:rsidRPr="00721026">
        <w:rPr>
          <w:rFonts w:cs="Arial"/>
          <w:b/>
          <w:bCs/>
          <w:color w:val="000000"/>
        </w:rPr>
        <w:t xml:space="preserve"> IMPLEMENTATION AND FUNDING:</w:t>
      </w:r>
    </w:p>
    <w:p w14:paraId="62062FC1" w14:textId="42D7E173" w:rsidR="005349CE" w:rsidRPr="00721026" w:rsidRDefault="005F678D" w:rsidP="00721026">
      <w:pPr>
        <w:widowControl w:val="0"/>
        <w:spacing w:after="120"/>
        <w:rPr>
          <w:rFonts w:cs="Arial"/>
          <w:bCs/>
          <w:color w:val="000000"/>
        </w:rPr>
      </w:pPr>
      <w:r w:rsidRPr="00721026">
        <w:rPr>
          <w:rFonts w:cs="Arial"/>
          <w:bCs/>
          <w:color w:val="000000"/>
        </w:rPr>
        <w:t xml:space="preserve">Individual Agencies are responsible for the development and maintenance of the properties once they are acquired. Historically, the state provides an average of 9% of the operation and maintenance funding in accordance with </w:t>
      </w:r>
      <w:hyperlink r:id="rId10" w:history="1">
        <w:r w:rsidRPr="00721026">
          <w:rPr>
            <w:rStyle w:val="Hyperlink"/>
            <w:rFonts w:cs="Arial"/>
            <w:bCs/>
          </w:rPr>
          <w:t>Minnesota Statutes, section 473.351</w:t>
        </w:r>
      </w:hyperlink>
      <w:r w:rsidRPr="00721026">
        <w:rPr>
          <w:rFonts w:cs="Arial"/>
          <w:bCs/>
          <w:color w:val="000000"/>
        </w:rPr>
        <w:t xml:space="preserve">, with the vast majority coming from local sources. </w:t>
      </w:r>
      <w:r w:rsidR="00BC5311" w:rsidRPr="00721026">
        <w:rPr>
          <w:rFonts w:cs="Arial"/>
          <w:bCs/>
          <w:color w:val="000000"/>
        </w:rPr>
        <w:t xml:space="preserve">Agencies undertake removal of unneeded structures, natural resource restoration, and trail and facility development; these activities may be funded from a variety of sources, including state General Obligation bonds, Legacy projects, or self-funding. </w:t>
      </w:r>
    </w:p>
    <w:p w14:paraId="0D455D0A" w14:textId="62BD17D5" w:rsidR="00C02DAD" w:rsidRPr="00721026" w:rsidRDefault="0029726A" w:rsidP="00C02DAD">
      <w:pPr>
        <w:tabs>
          <w:tab w:val="left" w:pos="540"/>
        </w:tabs>
        <w:autoSpaceDE w:val="0"/>
        <w:autoSpaceDN w:val="0"/>
        <w:adjustRightInd w:val="0"/>
        <w:rPr>
          <w:rFonts w:cs="Arial"/>
          <w:bCs/>
          <w:i/>
          <w:color w:val="000000"/>
          <w:sz w:val="10"/>
          <w:szCs w:val="10"/>
        </w:rPr>
      </w:pPr>
      <w:r w:rsidRPr="00721026">
        <w:rPr>
          <w:rFonts w:cs="Arial"/>
          <w:b/>
          <w:bCs/>
          <w:color w:val="000000"/>
        </w:rPr>
        <w:t>V</w:t>
      </w:r>
      <w:r w:rsidR="00C02DAD" w:rsidRPr="00721026">
        <w:rPr>
          <w:rFonts w:cs="Arial"/>
          <w:b/>
          <w:bCs/>
          <w:color w:val="000000"/>
        </w:rPr>
        <w:t xml:space="preserve">. </w:t>
      </w:r>
      <w:r w:rsidR="00C02DAD" w:rsidRPr="00721026">
        <w:rPr>
          <w:rFonts w:cs="Arial"/>
          <w:b/>
          <w:bCs/>
          <w:color w:val="000000"/>
        </w:rPr>
        <w:tab/>
        <w:t xml:space="preserve">SEE ADDITIONAL </w:t>
      </w:r>
      <w:r w:rsidR="00AD3337" w:rsidRPr="00721026">
        <w:rPr>
          <w:rFonts w:cs="Arial"/>
          <w:b/>
          <w:bCs/>
          <w:color w:val="000000"/>
        </w:rPr>
        <w:t>PROPOSAL</w:t>
      </w:r>
      <w:r w:rsidR="00C02DAD" w:rsidRPr="00721026">
        <w:rPr>
          <w:rFonts w:cs="Arial"/>
          <w:b/>
          <w:bCs/>
          <w:color w:val="000000"/>
        </w:rPr>
        <w:t xml:space="preserve"> COMPONENTS:</w:t>
      </w:r>
    </w:p>
    <w:p w14:paraId="390F08C6" w14:textId="73D27F35" w:rsidR="00C02DAD" w:rsidRPr="00721026" w:rsidRDefault="00C02DAD" w:rsidP="00C02DAD">
      <w:pPr>
        <w:tabs>
          <w:tab w:val="left" w:pos="540"/>
        </w:tabs>
        <w:autoSpaceDE w:val="0"/>
        <w:autoSpaceDN w:val="0"/>
        <w:adjustRightInd w:val="0"/>
        <w:ind w:left="540"/>
        <w:rPr>
          <w:rFonts w:cs="Arial"/>
          <w:b/>
          <w:iCs/>
          <w:color w:val="000000"/>
        </w:rPr>
      </w:pPr>
      <w:r w:rsidRPr="00721026">
        <w:rPr>
          <w:rFonts w:cs="Arial"/>
          <w:b/>
          <w:iCs/>
          <w:color w:val="000000"/>
        </w:rPr>
        <w:t xml:space="preserve">A. Proposal </w:t>
      </w:r>
      <w:r w:rsidR="00A4104E" w:rsidRPr="00721026">
        <w:rPr>
          <w:rFonts w:cs="Arial"/>
          <w:b/>
          <w:iCs/>
          <w:color w:val="000000"/>
        </w:rPr>
        <w:t>Budget Spreadsheet</w:t>
      </w:r>
    </w:p>
    <w:p w14:paraId="10D059FE" w14:textId="3A530D7F" w:rsidR="00C02DAD" w:rsidRPr="00721026" w:rsidRDefault="00C02DAD" w:rsidP="00A4104E">
      <w:pPr>
        <w:tabs>
          <w:tab w:val="left" w:pos="720"/>
        </w:tabs>
        <w:autoSpaceDE w:val="0"/>
        <w:autoSpaceDN w:val="0"/>
        <w:adjustRightInd w:val="0"/>
        <w:ind w:left="720" w:hanging="180"/>
        <w:rPr>
          <w:rFonts w:cs="Arial"/>
          <w:b/>
          <w:iCs/>
          <w:color w:val="000000"/>
        </w:rPr>
      </w:pPr>
      <w:r w:rsidRPr="00721026">
        <w:rPr>
          <w:rFonts w:cs="Arial"/>
          <w:b/>
          <w:iCs/>
          <w:color w:val="000000"/>
        </w:rPr>
        <w:t>B. Map</w:t>
      </w:r>
      <w:r w:rsidR="00A4104E" w:rsidRPr="00721026">
        <w:rPr>
          <w:rFonts w:cs="Arial"/>
          <w:b/>
          <w:iCs/>
          <w:color w:val="000000"/>
        </w:rPr>
        <w:t>s</w:t>
      </w:r>
    </w:p>
    <w:p w14:paraId="24191262" w14:textId="3793CDCF" w:rsidR="00C02DAD" w:rsidRPr="00721026" w:rsidRDefault="00C02DAD" w:rsidP="00C02DAD">
      <w:pPr>
        <w:tabs>
          <w:tab w:val="left" w:pos="540"/>
        </w:tabs>
        <w:autoSpaceDE w:val="0"/>
        <w:autoSpaceDN w:val="0"/>
        <w:adjustRightInd w:val="0"/>
        <w:ind w:left="540"/>
        <w:rPr>
          <w:rFonts w:cs="Arial"/>
          <w:b/>
          <w:iCs/>
          <w:color w:val="000000"/>
        </w:rPr>
      </w:pPr>
      <w:r w:rsidRPr="00721026">
        <w:rPr>
          <w:rFonts w:cs="Arial"/>
          <w:b/>
          <w:iCs/>
          <w:color w:val="000000"/>
        </w:rPr>
        <w:t>C. Parcel List Spreadsheet</w:t>
      </w:r>
      <w:r w:rsidR="006E3304" w:rsidRPr="00721026">
        <w:rPr>
          <w:rFonts w:cs="Arial"/>
          <w:b/>
          <w:iCs/>
          <w:color w:val="000000"/>
        </w:rPr>
        <w:t xml:space="preserve">  </w:t>
      </w:r>
    </w:p>
    <w:p w14:paraId="70E2FA69" w14:textId="4186699A" w:rsidR="00AD3337" w:rsidRPr="00721026" w:rsidRDefault="00AD3337" w:rsidP="00AD3337">
      <w:pPr>
        <w:tabs>
          <w:tab w:val="left" w:pos="540"/>
        </w:tabs>
        <w:autoSpaceDE w:val="0"/>
        <w:autoSpaceDN w:val="0"/>
        <w:adjustRightInd w:val="0"/>
        <w:ind w:left="540"/>
        <w:rPr>
          <w:rFonts w:cs="Arial"/>
          <w:b/>
          <w:iCs/>
          <w:color w:val="000000"/>
        </w:rPr>
      </w:pPr>
      <w:r w:rsidRPr="00721026">
        <w:rPr>
          <w:rFonts w:cs="Arial"/>
          <w:b/>
          <w:iCs/>
          <w:color w:val="000000"/>
        </w:rPr>
        <w:t>D. Acquisition, Easements, and Restoration Requirements</w:t>
      </w:r>
      <w:r w:rsidR="006E3304" w:rsidRPr="00721026">
        <w:rPr>
          <w:rFonts w:cs="Arial"/>
          <w:b/>
          <w:iCs/>
          <w:color w:val="000000"/>
        </w:rPr>
        <w:t xml:space="preserve"> </w:t>
      </w:r>
    </w:p>
    <w:p w14:paraId="4EAD92EB" w14:textId="43BE98C4" w:rsidR="00AD3337" w:rsidRPr="00721026" w:rsidRDefault="00AD3337" w:rsidP="00AD3337">
      <w:pPr>
        <w:tabs>
          <w:tab w:val="left" w:pos="540"/>
        </w:tabs>
        <w:autoSpaceDE w:val="0"/>
        <w:autoSpaceDN w:val="0"/>
        <w:adjustRightInd w:val="0"/>
        <w:ind w:left="540"/>
        <w:rPr>
          <w:rFonts w:cs="Arial"/>
          <w:b/>
          <w:iCs/>
          <w:color w:val="000000"/>
        </w:rPr>
      </w:pPr>
      <w:r w:rsidRPr="00721026">
        <w:rPr>
          <w:rFonts w:cstheme="minorHAnsi"/>
          <w:b/>
          <w:iCs/>
        </w:rPr>
        <w:t xml:space="preserve">E. Research Addendum </w:t>
      </w:r>
      <w:r w:rsidR="006E3304" w:rsidRPr="00721026">
        <w:rPr>
          <w:rFonts w:cstheme="minorHAnsi"/>
          <w:b/>
          <w:iCs/>
        </w:rPr>
        <w:t>– N/A</w:t>
      </w:r>
    </w:p>
    <w:p w14:paraId="73EA161D" w14:textId="2DDCD314" w:rsidR="00F9232B" w:rsidRPr="00721026" w:rsidRDefault="00AD3337" w:rsidP="00C02DAD">
      <w:pPr>
        <w:tabs>
          <w:tab w:val="left" w:pos="540"/>
        </w:tabs>
        <w:autoSpaceDE w:val="0"/>
        <w:autoSpaceDN w:val="0"/>
        <w:adjustRightInd w:val="0"/>
        <w:ind w:left="540"/>
        <w:rPr>
          <w:rFonts w:cs="Arial"/>
          <w:b/>
          <w:iCs/>
          <w:color w:val="000000"/>
        </w:rPr>
      </w:pPr>
      <w:bookmarkStart w:id="1" w:name="_Hlk2950630"/>
      <w:r w:rsidRPr="00721026">
        <w:rPr>
          <w:rFonts w:cs="Arial"/>
          <w:b/>
          <w:iCs/>
          <w:color w:val="000000"/>
        </w:rPr>
        <w:t>F</w:t>
      </w:r>
      <w:r w:rsidR="00F9232B" w:rsidRPr="00721026">
        <w:rPr>
          <w:rFonts w:cs="Arial"/>
          <w:b/>
          <w:iCs/>
          <w:color w:val="000000"/>
        </w:rPr>
        <w:t>. Project Manager Qualifications and Organization Description</w:t>
      </w:r>
      <w:r w:rsidR="006E3304" w:rsidRPr="00721026">
        <w:rPr>
          <w:rFonts w:cs="Arial"/>
          <w:b/>
          <w:iCs/>
          <w:color w:val="000000"/>
        </w:rPr>
        <w:t xml:space="preserve"> </w:t>
      </w:r>
    </w:p>
    <w:bookmarkEnd w:id="1"/>
    <w:p w14:paraId="765F4115" w14:textId="6A8EDCEA" w:rsidR="00F9232B" w:rsidRPr="00721026" w:rsidRDefault="00AD3337" w:rsidP="00C02DAD">
      <w:pPr>
        <w:tabs>
          <w:tab w:val="left" w:pos="540"/>
        </w:tabs>
        <w:autoSpaceDE w:val="0"/>
        <w:autoSpaceDN w:val="0"/>
        <w:adjustRightInd w:val="0"/>
        <w:ind w:left="540"/>
        <w:rPr>
          <w:rFonts w:cs="Arial"/>
          <w:b/>
          <w:iCs/>
          <w:color w:val="000000"/>
        </w:rPr>
      </w:pPr>
      <w:r w:rsidRPr="00721026">
        <w:rPr>
          <w:rFonts w:cs="Arial"/>
          <w:b/>
          <w:iCs/>
          <w:color w:val="000000"/>
        </w:rPr>
        <w:t>G</w:t>
      </w:r>
      <w:r w:rsidR="00F9232B" w:rsidRPr="00721026">
        <w:rPr>
          <w:rFonts w:cs="Arial"/>
          <w:b/>
          <w:iCs/>
          <w:color w:val="000000"/>
        </w:rPr>
        <w:t xml:space="preserve">. Letter or </w:t>
      </w:r>
      <w:r w:rsidR="003578A0" w:rsidRPr="00721026">
        <w:rPr>
          <w:rFonts w:cs="Arial"/>
          <w:b/>
          <w:iCs/>
          <w:color w:val="000000"/>
        </w:rPr>
        <w:t>Resolution</w:t>
      </w:r>
      <w:r w:rsidR="006E3304" w:rsidRPr="00721026">
        <w:rPr>
          <w:rFonts w:cs="Arial"/>
          <w:b/>
          <w:iCs/>
          <w:color w:val="000000"/>
        </w:rPr>
        <w:t xml:space="preserve"> – </w:t>
      </w:r>
      <w:r w:rsidR="001F5914" w:rsidRPr="00721026">
        <w:rPr>
          <w:rFonts w:cs="Arial"/>
          <w:b/>
          <w:iCs/>
          <w:color w:val="000000"/>
        </w:rPr>
        <w:t>N/A</w:t>
      </w:r>
    </w:p>
    <w:p w14:paraId="1EFDBE59" w14:textId="40BC9B0C" w:rsidR="006E0EFD" w:rsidRPr="00721026" w:rsidRDefault="00CE20AC" w:rsidP="00792BB7">
      <w:pPr>
        <w:pStyle w:val="Bodycopy"/>
        <w:spacing w:before="0"/>
        <w:ind w:left="540"/>
        <w:rPr>
          <w:rFonts w:ascii="Calibri" w:hAnsi="Calibri" w:cs="Calibri"/>
          <w:b/>
          <w:sz w:val="22"/>
          <w:szCs w:val="22"/>
        </w:rPr>
      </w:pPr>
      <w:r w:rsidRPr="00721026">
        <w:rPr>
          <w:rFonts w:ascii="Calibri" w:hAnsi="Calibri" w:cs="Calibri"/>
          <w:b/>
          <w:sz w:val="22"/>
          <w:szCs w:val="22"/>
        </w:rPr>
        <w:t xml:space="preserve">H. </w:t>
      </w:r>
      <w:r w:rsidR="008A5FD9" w:rsidRPr="00721026">
        <w:rPr>
          <w:rFonts w:ascii="Calibri" w:hAnsi="Calibri" w:cs="Calibri"/>
          <w:b/>
          <w:sz w:val="22"/>
          <w:szCs w:val="22"/>
        </w:rPr>
        <w:t>Financial Capacity</w:t>
      </w:r>
      <w:r w:rsidR="006E3304" w:rsidRPr="00721026">
        <w:rPr>
          <w:rFonts w:ascii="Calibri" w:hAnsi="Calibri" w:cs="Calibri"/>
          <w:b/>
          <w:sz w:val="22"/>
          <w:szCs w:val="22"/>
        </w:rPr>
        <w:t xml:space="preserve"> – </w:t>
      </w:r>
      <w:r w:rsidR="001F5914" w:rsidRPr="00721026">
        <w:rPr>
          <w:rFonts w:ascii="Calibri" w:hAnsi="Calibri" w:cs="Calibri"/>
          <w:b/>
          <w:sz w:val="22"/>
          <w:szCs w:val="22"/>
        </w:rPr>
        <w:t>N/A</w:t>
      </w:r>
    </w:p>
    <w:sectPr w:rsidR="006E0EFD" w:rsidRPr="00721026" w:rsidSect="00721026">
      <w:headerReference w:type="even" r:id="rId11"/>
      <w:headerReference w:type="default" r:id="rId12"/>
      <w:footerReference w:type="default" r:id="rId13"/>
      <w:headerReference w:type="first" r:id="rId14"/>
      <w:footerReference w:type="first" r:id="rId15"/>
      <w:type w:val="continuous"/>
      <w:pgSz w:w="12240" w:h="15840" w:code="1"/>
      <w:pgMar w:top="1872"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20CEF" w14:textId="77777777" w:rsidR="00500E68" w:rsidRDefault="00500E68" w:rsidP="00533120">
      <w:r>
        <w:separator/>
      </w:r>
    </w:p>
  </w:endnote>
  <w:endnote w:type="continuationSeparator" w:id="0">
    <w:p w14:paraId="39700256" w14:textId="77777777" w:rsidR="00500E68" w:rsidRDefault="00500E6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5983"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7AB1B2C1"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4F5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16CA90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DADF" w14:textId="77777777" w:rsidR="00500E68" w:rsidRDefault="00500E68" w:rsidP="00533120">
      <w:r>
        <w:separator/>
      </w:r>
    </w:p>
  </w:footnote>
  <w:footnote w:type="continuationSeparator" w:id="0">
    <w:p w14:paraId="6325686E" w14:textId="77777777" w:rsidR="00500E68" w:rsidRDefault="00500E6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9BF5" w14:textId="459ABB5F" w:rsidR="00CC6D71" w:rsidRDefault="00A944E9">
    <w:pPr>
      <w:pStyle w:val="Header"/>
    </w:pPr>
    <w:r>
      <w:rPr>
        <w:noProof/>
      </w:rPr>
      <w:pict w14:anchorId="2D26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751" o:spid="_x0000_s2050" type="#_x0000_t136" style="position:absolute;margin-left:0;margin-top:0;width:7in;height:108pt;z-index:-251655168;mso-position-horizontal:center;mso-position-horizontal-relative:margin;mso-position-vertical:center;mso-position-vertical-relative:margin" o:allowincell="f" fillcolor="silver" stroked="f">
          <v:fill opacity=".5"/>
          <v:textpath style="font-family:&quot;Calibri&quot;;font-size:1pt" string="For discuss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0E007EC0" w14:textId="77777777" w:rsidTr="00E47145">
      <w:tc>
        <w:tcPr>
          <w:tcW w:w="1278" w:type="dxa"/>
        </w:tcPr>
        <w:p w14:paraId="61460AB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CB8EE1D" wp14:editId="4D93A347">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7152EA5" w14:textId="77777777" w:rsidR="005F7237" w:rsidRPr="00A42E60" w:rsidRDefault="005F7237" w:rsidP="00EB5831">
          <w:pPr>
            <w:rPr>
              <w:b/>
            </w:rPr>
          </w:pPr>
          <w:r w:rsidRPr="00A42E60">
            <w:rPr>
              <w:b/>
            </w:rPr>
            <w:t>Environment and Natural Resources Trust Fund (ENRTF)</w:t>
          </w:r>
        </w:p>
        <w:p w14:paraId="62AB63E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4258231" w14:textId="77777777" w:rsidR="005F7237" w:rsidRPr="00EB5831" w:rsidRDefault="005F7237" w:rsidP="00EB5831">
          <w:pPr>
            <w:pStyle w:val="Header"/>
            <w:rPr>
              <w:lang w:val="en-US" w:eastAsia="en-US"/>
            </w:rPr>
          </w:pPr>
        </w:p>
      </w:tc>
    </w:tr>
  </w:tbl>
  <w:p w14:paraId="440B4346" w14:textId="01006C61"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ADB146F" w14:textId="77777777" w:rsidTr="00C660F0">
      <w:tc>
        <w:tcPr>
          <w:tcW w:w="1098" w:type="dxa"/>
        </w:tcPr>
        <w:p w14:paraId="05789CB1" w14:textId="77777777" w:rsidR="005F7237" w:rsidRPr="00EB5831" w:rsidRDefault="009541C4" w:rsidP="00C660F0">
          <w:pPr>
            <w:pStyle w:val="Header"/>
            <w:rPr>
              <w:lang w:val="en-US" w:eastAsia="en-US"/>
            </w:rPr>
          </w:pPr>
          <w:r>
            <w:rPr>
              <w:noProof/>
              <w:lang w:val="en-US" w:eastAsia="en-US"/>
            </w:rPr>
            <w:drawing>
              <wp:inline distT="0" distB="0" distL="0" distR="0" wp14:anchorId="33EBC558" wp14:editId="76FE7FA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F1FED31" w14:textId="77777777" w:rsidR="005F7237" w:rsidRPr="00A42E60" w:rsidRDefault="005F7237" w:rsidP="00C660F0">
          <w:pPr>
            <w:rPr>
              <w:b/>
            </w:rPr>
          </w:pPr>
          <w:r w:rsidRPr="00A42E60">
            <w:rPr>
              <w:b/>
            </w:rPr>
            <w:t>Environment and Natural Resources Trust Fund (ENRTF)</w:t>
          </w:r>
        </w:p>
        <w:p w14:paraId="06DB682A" w14:textId="77777777" w:rsidR="005F7237" w:rsidRPr="00EB5831" w:rsidRDefault="005F7237" w:rsidP="00806460">
          <w:pPr>
            <w:pStyle w:val="Header"/>
            <w:rPr>
              <w:b/>
              <w:lang w:val="en-US" w:eastAsia="en-US"/>
            </w:rPr>
          </w:pPr>
          <w:r w:rsidRPr="00EB5831">
            <w:rPr>
              <w:b/>
              <w:lang w:val="en-US" w:eastAsia="en-US"/>
            </w:rPr>
            <w:t>2014 Main Proposal</w:t>
          </w:r>
        </w:p>
        <w:p w14:paraId="2A37D45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1ABAA97" w14:textId="58679618" w:rsidR="005F7237" w:rsidRPr="00F96203" w:rsidRDefault="00A944E9">
    <w:pPr>
      <w:pStyle w:val="Header"/>
      <w:rPr>
        <w:sz w:val="2"/>
        <w:szCs w:val="2"/>
      </w:rPr>
    </w:pPr>
    <w:r>
      <w:rPr>
        <w:noProof/>
      </w:rPr>
      <w:pict w14:anchorId="6CCB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750" o:spid="_x0000_s2049" type="#_x0000_t136" style="position:absolute;margin-left:0;margin-top:0;width:7in;height:108pt;z-index:-251657216;mso-position-horizontal:center;mso-position-horizontal-relative:margin;mso-position-vertical:center;mso-position-vertical-relative:margin" o:allowincell="f" fillcolor="silver" stroked="f">
          <v:fill opacity=".5"/>
          <v:textpath style="font-family:&quot;Calibri&quot;;font-size:1pt" string="For discussion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4CEC"/>
    <w:multiLevelType w:val="hybridMultilevel"/>
    <w:tmpl w:val="674E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72466"/>
    <w:multiLevelType w:val="hybridMultilevel"/>
    <w:tmpl w:val="4EE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94F6D3C"/>
    <w:multiLevelType w:val="hybridMultilevel"/>
    <w:tmpl w:val="CE7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3"/>
  </w:num>
  <w:num w:numId="6">
    <w:abstractNumId w:val="2"/>
  </w:num>
  <w:num w:numId="7">
    <w:abstractNumId w:val="7"/>
  </w:num>
  <w:num w:numId="8">
    <w:abstractNumId w:val="4"/>
  </w:num>
  <w:num w:numId="9">
    <w:abstractNumId w:val="12"/>
  </w:num>
  <w:num w:numId="10">
    <w:abstractNumId w:val="10"/>
  </w:num>
  <w:num w:numId="11">
    <w:abstractNumId w:val="1"/>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671A6"/>
    <w:rsid w:val="00073C96"/>
    <w:rsid w:val="00076556"/>
    <w:rsid w:val="000B34BA"/>
    <w:rsid w:val="000B3A01"/>
    <w:rsid w:val="000B646C"/>
    <w:rsid w:val="000C3EF3"/>
    <w:rsid w:val="000D7CA7"/>
    <w:rsid w:val="000D7F31"/>
    <w:rsid w:val="000F2B60"/>
    <w:rsid w:val="000F76B0"/>
    <w:rsid w:val="00100A34"/>
    <w:rsid w:val="00107495"/>
    <w:rsid w:val="001225BC"/>
    <w:rsid w:val="00133AA0"/>
    <w:rsid w:val="00165716"/>
    <w:rsid w:val="0018005E"/>
    <w:rsid w:val="00186FCC"/>
    <w:rsid w:val="001B0368"/>
    <w:rsid w:val="001C24AE"/>
    <w:rsid w:val="001E42AC"/>
    <w:rsid w:val="001F5914"/>
    <w:rsid w:val="002159DD"/>
    <w:rsid w:val="00217C2A"/>
    <w:rsid w:val="00234AC8"/>
    <w:rsid w:val="0026236C"/>
    <w:rsid w:val="00290E4E"/>
    <w:rsid w:val="0029726A"/>
    <w:rsid w:val="002B469A"/>
    <w:rsid w:val="002C745C"/>
    <w:rsid w:val="002D6A91"/>
    <w:rsid w:val="003205A7"/>
    <w:rsid w:val="003239FE"/>
    <w:rsid w:val="00332495"/>
    <w:rsid w:val="00347E7A"/>
    <w:rsid w:val="00351EA6"/>
    <w:rsid w:val="00354888"/>
    <w:rsid w:val="003578A0"/>
    <w:rsid w:val="003706D2"/>
    <w:rsid w:val="0037310D"/>
    <w:rsid w:val="00393FAB"/>
    <w:rsid w:val="0039481E"/>
    <w:rsid w:val="003F227D"/>
    <w:rsid w:val="003F32CA"/>
    <w:rsid w:val="003F65A4"/>
    <w:rsid w:val="00404B9C"/>
    <w:rsid w:val="004357AE"/>
    <w:rsid w:val="00452641"/>
    <w:rsid w:val="004530F7"/>
    <w:rsid w:val="00454495"/>
    <w:rsid w:val="004763B6"/>
    <w:rsid w:val="00487D08"/>
    <w:rsid w:val="0049103C"/>
    <w:rsid w:val="004A43B9"/>
    <w:rsid w:val="004A4BE4"/>
    <w:rsid w:val="004E6113"/>
    <w:rsid w:val="00500E68"/>
    <w:rsid w:val="005022A5"/>
    <w:rsid w:val="00533120"/>
    <w:rsid w:val="005349CE"/>
    <w:rsid w:val="005431D4"/>
    <w:rsid w:val="00550B29"/>
    <w:rsid w:val="0056186D"/>
    <w:rsid w:val="0056417B"/>
    <w:rsid w:val="005648A9"/>
    <w:rsid w:val="00565318"/>
    <w:rsid w:val="0058542B"/>
    <w:rsid w:val="005A1D00"/>
    <w:rsid w:val="005A4FB1"/>
    <w:rsid w:val="005E61F2"/>
    <w:rsid w:val="005F0DBA"/>
    <w:rsid w:val="005F1006"/>
    <w:rsid w:val="005F1948"/>
    <w:rsid w:val="005F678D"/>
    <w:rsid w:val="005F7237"/>
    <w:rsid w:val="00602068"/>
    <w:rsid w:val="00614DF2"/>
    <w:rsid w:val="0061747D"/>
    <w:rsid w:val="00633ACB"/>
    <w:rsid w:val="00640A9A"/>
    <w:rsid w:val="006562F0"/>
    <w:rsid w:val="00686B53"/>
    <w:rsid w:val="006B6B48"/>
    <w:rsid w:val="006E0EFD"/>
    <w:rsid w:val="006E3304"/>
    <w:rsid w:val="006F7F24"/>
    <w:rsid w:val="00721026"/>
    <w:rsid w:val="00721661"/>
    <w:rsid w:val="00731A65"/>
    <w:rsid w:val="0077266D"/>
    <w:rsid w:val="00792BB7"/>
    <w:rsid w:val="007936A9"/>
    <w:rsid w:val="007B284F"/>
    <w:rsid w:val="007B3535"/>
    <w:rsid w:val="00806460"/>
    <w:rsid w:val="008076FB"/>
    <w:rsid w:val="008949EE"/>
    <w:rsid w:val="008A088E"/>
    <w:rsid w:val="008A4498"/>
    <w:rsid w:val="008A5FD9"/>
    <w:rsid w:val="008C57FA"/>
    <w:rsid w:val="008D2242"/>
    <w:rsid w:val="008E5BAE"/>
    <w:rsid w:val="00910DB8"/>
    <w:rsid w:val="00912C65"/>
    <w:rsid w:val="00940A71"/>
    <w:rsid w:val="009541C4"/>
    <w:rsid w:val="009627BD"/>
    <w:rsid w:val="009A49DE"/>
    <w:rsid w:val="009B6749"/>
    <w:rsid w:val="009C4875"/>
    <w:rsid w:val="009D0E57"/>
    <w:rsid w:val="009D14B4"/>
    <w:rsid w:val="009D6EC8"/>
    <w:rsid w:val="00A03E0A"/>
    <w:rsid w:val="00A13F26"/>
    <w:rsid w:val="00A21207"/>
    <w:rsid w:val="00A4104E"/>
    <w:rsid w:val="00A4245D"/>
    <w:rsid w:val="00A42E60"/>
    <w:rsid w:val="00A45A41"/>
    <w:rsid w:val="00A50C83"/>
    <w:rsid w:val="00A6711D"/>
    <w:rsid w:val="00A7257F"/>
    <w:rsid w:val="00A73B75"/>
    <w:rsid w:val="00A944E9"/>
    <w:rsid w:val="00AB6CFF"/>
    <w:rsid w:val="00AC2C07"/>
    <w:rsid w:val="00AC2CDE"/>
    <w:rsid w:val="00AD3337"/>
    <w:rsid w:val="00B728BF"/>
    <w:rsid w:val="00B8369A"/>
    <w:rsid w:val="00B86A22"/>
    <w:rsid w:val="00BA2811"/>
    <w:rsid w:val="00BA5579"/>
    <w:rsid w:val="00BC28A6"/>
    <w:rsid w:val="00BC5311"/>
    <w:rsid w:val="00BD568A"/>
    <w:rsid w:val="00C02DAD"/>
    <w:rsid w:val="00C34555"/>
    <w:rsid w:val="00C660F0"/>
    <w:rsid w:val="00C72BD9"/>
    <w:rsid w:val="00C82CD3"/>
    <w:rsid w:val="00C85E92"/>
    <w:rsid w:val="00C9223F"/>
    <w:rsid w:val="00C952E4"/>
    <w:rsid w:val="00CB652D"/>
    <w:rsid w:val="00CC2587"/>
    <w:rsid w:val="00CC3F6B"/>
    <w:rsid w:val="00CC6D71"/>
    <w:rsid w:val="00CE20AC"/>
    <w:rsid w:val="00D02E23"/>
    <w:rsid w:val="00D121DD"/>
    <w:rsid w:val="00D25619"/>
    <w:rsid w:val="00D301EB"/>
    <w:rsid w:val="00D32CFB"/>
    <w:rsid w:val="00D83A13"/>
    <w:rsid w:val="00D938FF"/>
    <w:rsid w:val="00E17426"/>
    <w:rsid w:val="00E4293C"/>
    <w:rsid w:val="00E47145"/>
    <w:rsid w:val="00E5279E"/>
    <w:rsid w:val="00E619C4"/>
    <w:rsid w:val="00E76D57"/>
    <w:rsid w:val="00EB5831"/>
    <w:rsid w:val="00EC2CEA"/>
    <w:rsid w:val="00EE02A1"/>
    <w:rsid w:val="00EE088A"/>
    <w:rsid w:val="00EE54C3"/>
    <w:rsid w:val="00F42507"/>
    <w:rsid w:val="00F70DE4"/>
    <w:rsid w:val="00F9232B"/>
    <w:rsid w:val="00F92864"/>
    <w:rsid w:val="00F96203"/>
    <w:rsid w:val="00F97C94"/>
    <w:rsid w:val="00FA65CE"/>
    <w:rsid w:val="00FB2245"/>
    <w:rsid w:val="00FB3D2C"/>
    <w:rsid w:val="00FB586E"/>
    <w:rsid w:val="00FF1689"/>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696F1F"/>
  <w15:docId w15:val="{B062D303-0061-4B93-A77F-974F5C1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6236C"/>
    <w:rPr>
      <w:sz w:val="16"/>
      <w:szCs w:val="16"/>
    </w:rPr>
  </w:style>
  <w:style w:type="paragraph" w:styleId="CommentText">
    <w:name w:val="annotation text"/>
    <w:basedOn w:val="Normal"/>
    <w:link w:val="CommentTextChar"/>
    <w:uiPriority w:val="99"/>
    <w:semiHidden/>
    <w:unhideWhenUsed/>
    <w:rsid w:val="0026236C"/>
    <w:rPr>
      <w:sz w:val="20"/>
      <w:szCs w:val="20"/>
    </w:rPr>
  </w:style>
  <w:style w:type="character" w:customStyle="1" w:styleId="CommentTextChar">
    <w:name w:val="Comment Text Char"/>
    <w:basedOn w:val="DefaultParagraphFont"/>
    <w:link w:val="CommentText"/>
    <w:uiPriority w:val="99"/>
    <w:semiHidden/>
    <w:rsid w:val="0026236C"/>
  </w:style>
  <w:style w:type="paragraph" w:styleId="CommentSubject">
    <w:name w:val="annotation subject"/>
    <w:basedOn w:val="CommentText"/>
    <w:next w:val="CommentText"/>
    <w:link w:val="CommentSubjectChar"/>
    <w:uiPriority w:val="99"/>
    <w:semiHidden/>
    <w:unhideWhenUsed/>
    <w:rsid w:val="0026236C"/>
    <w:rPr>
      <w:b/>
      <w:bCs/>
    </w:rPr>
  </w:style>
  <w:style w:type="character" w:customStyle="1" w:styleId="CommentSubjectChar">
    <w:name w:val="Comment Subject Char"/>
    <w:basedOn w:val="CommentTextChar"/>
    <w:link w:val="CommentSubject"/>
    <w:uiPriority w:val="99"/>
    <w:semiHidden/>
    <w:rsid w:val="0026236C"/>
    <w:rPr>
      <w:b/>
      <w:bCs/>
    </w:rPr>
  </w:style>
  <w:style w:type="character" w:styleId="Hyperlink">
    <w:name w:val="Hyperlink"/>
    <w:basedOn w:val="DefaultParagraphFont"/>
    <w:uiPriority w:val="99"/>
    <w:unhideWhenUsed/>
    <w:rsid w:val="00792BB7"/>
    <w:rPr>
      <w:color w:val="0000FF" w:themeColor="hyperlink"/>
      <w:u w:val="single"/>
    </w:rPr>
  </w:style>
  <w:style w:type="character" w:styleId="UnresolvedMention">
    <w:name w:val="Unresolved Mention"/>
    <w:basedOn w:val="DefaultParagraphFont"/>
    <w:uiPriority w:val="99"/>
    <w:semiHidden/>
    <w:unhideWhenUsed/>
    <w:rsid w:val="00792B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9261821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473.3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visor.mn.gov/statutes/cite/473.35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visor.mn.gov/statutes/cite/473.351" TargetMode="External"/><Relationship Id="rId4" Type="http://schemas.openxmlformats.org/officeDocument/2006/relationships/webSettings" Target="webSettings.xml"/><Relationship Id="rId9" Type="http://schemas.openxmlformats.org/officeDocument/2006/relationships/hyperlink" Target="https://www.revisor.mn.gov/statutes/cite/473.31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Jensen, Deb</cp:lastModifiedBy>
  <cp:revision>6</cp:revision>
  <cp:lastPrinted>2019-03-12T14:14:00Z</cp:lastPrinted>
  <dcterms:created xsi:type="dcterms:W3CDTF">2019-04-08T19:15:00Z</dcterms:created>
  <dcterms:modified xsi:type="dcterms:W3CDTF">2019-04-12T18:02:00Z</dcterms:modified>
</cp:coreProperties>
</file>