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2FDE2" w14:textId="4C99DF0A" w:rsidR="006E0EFD" w:rsidRPr="00A17C82" w:rsidRDefault="006E0EFD" w:rsidP="005A4FB1">
      <w:pPr>
        <w:rPr>
          <w:rFonts w:cs="Arial"/>
          <w:i/>
        </w:rPr>
      </w:pPr>
      <w:r w:rsidRPr="009D6EC8">
        <w:rPr>
          <w:rFonts w:cs="Arial"/>
          <w:b/>
        </w:rPr>
        <w:t>PROJECT TITLE:</w:t>
      </w:r>
      <w:r w:rsidR="00A17C82" w:rsidRPr="00A17C82">
        <w:t xml:space="preserve"> </w:t>
      </w:r>
      <w:r w:rsidR="00617CC3">
        <w:t xml:space="preserve">Identifying </w:t>
      </w:r>
      <w:r w:rsidR="00DF1BEB">
        <w:t>prairie</w:t>
      </w:r>
      <w:r w:rsidR="00617CC3">
        <w:t xml:space="preserve"> </w:t>
      </w:r>
      <w:r w:rsidR="00FF752C">
        <w:t>mix</w:t>
      </w:r>
      <w:r w:rsidR="00617CC3">
        <w:t>es to</w:t>
      </w:r>
      <w:r w:rsidR="00FC2B32">
        <w:t xml:space="preserve"> reduce nitrate pollution </w:t>
      </w:r>
    </w:p>
    <w:p w14:paraId="59C2A150" w14:textId="77777777" w:rsidR="006E0EFD" w:rsidRPr="009D6EC8" w:rsidRDefault="006E0EFD" w:rsidP="006E0EFD">
      <w:pPr>
        <w:rPr>
          <w:rFonts w:cs="Arial"/>
        </w:rPr>
      </w:pPr>
    </w:p>
    <w:p w14:paraId="1AB36E94" w14:textId="77777777" w:rsidR="006E0EFD" w:rsidRDefault="006E0EFD" w:rsidP="006E0EFD">
      <w:pPr>
        <w:rPr>
          <w:rFonts w:cs="Arial"/>
          <w:b/>
        </w:rPr>
      </w:pPr>
      <w:r w:rsidRPr="009D6EC8">
        <w:rPr>
          <w:rFonts w:cs="Arial"/>
          <w:b/>
        </w:rPr>
        <w:t>I. PROJECT STATEMENT</w:t>
      </w:r>
    </w:p>
    <w:p w14:paraId="497414BE" w14:textId="5094621D" w:rsidR="004E1AE6" w:rsidRDefault="004E1AE6" w:rsidP="00A17C82">
      <w:pPr>
        <w:rPr>
          <w:rFonts w:cs="Arial"/>
        </w:rPr>
      </w:pPr>
      <w:r>
        <w:rPr>
          <w:rFonts w:cs="Arial"/>
        </w:rPr>
        <w:t xml:space="preserve">Knowing which mixtures of </w:t>
      </w:r>
      <w:r w:rsidR="00DF1BEB">
        <w:rPr>
          <w:rFonts w:cs="Arial"/>
        </w:rPr>
        <w:t>prairie plants</w:t>
      </w:r>
      <w:r>
        <w:rPr>
          <w:rFonts w:cs="Arial"/>
        </w:rPr>
        <w:t xml:space="preserve"> perform best</w:t>
      </w:r>
      <w:r w:rsidR="0036373B">
        <w:rPr>
          <w:rFonts w:cs="Arial"/>
        </w:rPr>
        <w:t xml:space="preserve">, under varying climatic conditions, </w:t>
      </w:r>
      <w:r>
        <w:rPr>
          <w:rFonts w:cs="Arial"/>
        </w:rPr>
        <w:t>to remove nitrates in vulnerable sandy soils</w:t>
      </w:r>
      <w:r w:rsidR="00DC6CD2">
        <w:rPr>
          <w:rFonts w:cs="Arial"/>
        </w:rPr>
        <w:t xml:space="preserve"> would contribute to the quality</w:t>
      </w:r>
      <w:r>
        <w:rPr>
          <w:rFonts w:cs="Arial"/>
        </w:rPr>
        <w:t xml:space="preserve"> of Minnesota’s waters. </w:t>
      </w:r>
      <w:r w:rsidR="0036373B">
        <w:rPr>
          <w:rFonts w:cs="Arial"/>
        </w:rPr>
        <w:t xml:space="preserve">We have the opportunity to test for nitrate removal from an established </w:t>
      </w:r>
      <w:r w:rsidR="00DF1BEB">
        <w:rPr>
          <w:rFonts w:cs="Arial"/>
        </w:rPr>
        <w:t xml:space="preserve">prairie plant </w:t>
      </w:r>
      <w:r w:rsidR="0036373B">
        <w:rPr>
          <w:rFonts w:cs="Arial"/>
        </w:rPr>
        <w:t xml:space="preserve">diversity experiment where rainfall will have been altered for three years at the start of this LCCMR project. Because we leverage an existing experiment, we will be able to make recommendations to land mangers quickly as a result of this project. </w:t>
      </w:r>
    </w:p>
    <w:p w14:paraId="09977EAC" w14:textId="77777777" w:rsidR="004E1AE6" w:rsidRDefault="004E1AE6" w:rsidP="00A17C82">
      <w:pPr>
        <w:rPr>
          <w:rFonts w:cs="Arial"/>
        </w:rPr>
      </w:pPr>
    </w:p>
    <w:p w14:paraId="2A6039A6" w14:textId="47C7AFAA" w:rsidR="005112CC" w:rsidRDefault="0036373B" w:rsidP="00A17C82">
      <w:pPr>
        <w:rPr>
          <w:rFonts w:cs="Arial"/>
        </w:rPr>
      </w:pPr>
      <w:r>
        <w:rPr>
          <w:rFonts w:cs="Arial"/>
        </w:rPr>
        <w:t xml:space="preserve">Sandy and degraded soils are widespread throughout the state. Indeed, several of Minnesota’s wellhead protection areas, high in nitrate levels, are in regions with sandy soils. </w:t>
      </w:r>
      <w:r w:rsidR="00C274A9">
        <w:rPr>
          <w:rFonts w:cs="Arial"/>
        </w:rPr>
        <w:t>T</w:t>
      </w:r>
      <w:r w:rsidR="004E1AE6">
        <w:rPr>
          <w:rFonts w:cs="Arial"/>
        </w:rPr>
        <w:t>he Minnesota Department of Agriculture</w:t>
      </w:r>
      <w:r w:rsidR="00C274A9">
        <w:rPr>
          <w:rFonts w:cs="Arial"/>
        </w:rPr>
        <w:t xml:space="preserve"> (MDA)</w:t>
      </w:r>
      <w:r w:rsidR="004E1AE6">
        <w:rPr>
          <w:rFonts w:cs="Arial"/>
        </w:rPr>
        <w:t xml:space="preserve"> </w:t>
      </w:r>
      <w:r w:rsidR="00C274A9">
        <w:rPr>
          <w:rFonts w:cs="Arial"/>
        </w:rPr>
        <w:t xml:space="preserve">has recognized that even improved </w:t>
      </w:r>
      <w:r w:rsidR="00974600">
        <w:rPr>
          <w:rFonts w:cs="Arial"/>
        </w:rPr>
        <w:t>fertilizer recommendations</w:t>
      </w:r>
      <w:r w:rsidR="00C274A9">
        <w:rPr>
          <w:rFonts w:cs="Arial"/>
        </w:rPr>
        <w:t xml:space="preserve"> may not be adequate to cope with the problem of nitrate leaching in sandy soils, and that alternative practices such as cover crops or other plantings may be needed </w:t>
      </w:r>
      <w:r w:rsidR="004E1AE6">
        <w:rPr>
          <w:rFonts w:cs="Arial"/>
        </w:rPr>
        <w:t>(M</w:t>
      </w:r>
      <w:r w:rsidR="00C274A9">
        <w:rPr>
          <w:rFonts w:cs="Arial"/>
        </w:rPr>
        <w:t>DA</w:t>
      </w:r>
      <w:r w:rsidR="004E1AE6">
        <w:rPr>
          <w:rFonts w:cs="Arial"/>
        </w:rPr>
        <w:t xml:space="preserve"> nitrate report, 2016)</w:t>
      </w:r>
      <w:r w:rsidR="00C274A9">
        <w:rPr>
          <w:rFonts w:cs="Arial"/>
        </w:rPr>
        <w:t xml:space="preserve">. Native prairie plantings in some areas may be a multi-benefit solution. They are deeply rooted, and adapted to effectively take up nitrate into vegetation or soils, while adding valuable habitat for pollinators, deer, pheasants, song birds and other wildlife. </w:t>
      </w:r>
      <w:r w:rsidR="00DE5554">
        <w:rPr>
          <w:rFonts w:cs="Arial"/>
        </w:rPr>
        <w:t>Knowing</w:t>
      </w:r>
      <w:r w:rsidR="004E1AE6">
        <w:rPr>
          <w:rFonts w:cs="Arial"/>
        </w:rPr>
        <w:t xml:space="preserve"> the best </w:t>
      </w:r>
      <w:r w:rsidR="00DF1BEB">
        <w:rPr>
          <w:rFonts w:cs="Arial"/>
        </w:rPr>
        <w:t>prairie plant</w:t>
      </w:r>
      <w:r w:rsidR="00D91C31">
        <w:rPr>
          <w:rFonts w:cs="Arial"/>
        </w:rPr>
        <w:t xml:space="preserve"> mixtures to remove nitrate</w:t>
      </w:r>
      <w:r w:rsidR="001C2A7D">
        <w:rPr>
          <w:rFonts w:cs="Arial"/>
        </w:rPr>
        <w:t xml:space="preserve"> in </w:t>
      </w:r>
      <w:r w:rsidR="006E468E">
        <w:rPr>
          <w:rFonts w:cs="Arial"/>
        </w:rPr>
        <w:t xml:space="preserve">vulnerable </w:t>
      </w:r>
      <w:r w:rsidR="001C2A7D">
        <w:rPr>
          <w:rFonts w:cs="Arial"/>
        </w:rPr>
        <w:t>sandy soils</w:t>
      </w:r>
      <w:r w:rsidR="003502D0">
        <w:rPr>
          <w:rFonts w:cs="Arial"/>
        </w:rPr>
        <w:t xml:space="preserve"> would contribute to the</w:t>
      </w:r>
      <w:r w:rsidR="004E1AE6">
        <w:rPr>
          <w:rFonts w:cs="Arial"/>
        </w:rPr>
        <w:t>se efforts through</w:t>
      </w:r>
      <w:r w:rsidR="003502D0">
        <w:rPr>
          <w:rFonts w:cs="Arial"/>
        </w:rPr>
        <w:t xml:space="preserve"> development of best management practices</w:t>
      </w:r>
      <w:r w:rsidR="00E12C6D">
        <w:rPr>
          <w:rFonts w:cs="Arial"/>
        </w:rPr>
        <w:t xml:space="preserve"> </w:t>
      </w:r>
      <w:r w:rsidR="003502D0">
        <w:rPr>
          <w:rFonts w:cs="Arial"/>
        </w:rPr>
        <w:t>for buffer strip</w:t>
      </w:r>
      <w:r w:rsidR="004E1AE6">
        <w:rPr>
          <w:rFonts w:cs="Arial"/>
        </w:rPr>
        <w:t>s</w:t>
      </w:r>
      <w:r w:rsidR="00437121">
        <w:rPr>
          <w:rFonts w:cs="Arial"/>
        </w:rPr>
        <w:t xml:space="preserve"> or saturated buffers</w:t>
      </w:r>
      <w:r w:rsidR="004E1AE6">
        <w:rPr>
          <w:rFonts w:cs="Arial"/>
        </w:rPr>
        <w:t xml:space="preserve"> created</w:t>
      </w:r>
      <w:r w:rsidR="003502D0">
        <w:rPr>
          <w:rFonts w:cs="Arial"/>
        </w:rPr>
        <w:t xml:space="preserve"> by farmers, land managers, and </w:t>
      </w:r>
      <w:r w:rsidR="00DE5554">
        <w:rPr>
          <w:rFonts w:cs="Arial"/>
        </w:rPr>
        <w:t>state agencies</w:t>
      </w:r>
      <w:r w:rsidR="001C2A7D">
        <w:rPr>
          <w:rFonts w:cs="Arial"/>
        </w:rPr>
        <w:t xml:space="preserve">. </w:t>
      </w:r>
      <w:r w:rsidR="001C2A7D" w:rsidRPr="00A17C82">
        <w:rPr>
          <w:rFonts w:cs="Arial"/>
        </w:rPr>
        <w:t xml:space="preserve">Additionally, it is important to understand </w:t>
      </w:r>
      <w:r w:rsidR="004E1AE6">
        <w:rPr>
          <w:rFonts w:cs="Arial"/>
        </w:rPr>
        <w:t>which</w:t>
      </w:r>
      <w:r w:rsidR="001C2A7D">
        <w:rPr>
          <w:rFonts w:cs="Arial"/>
        </w:rPr>
        <w:t xml:space="preserve"> </w:t>
      </w:r>
      <w:r w:rsidR="00DF1BEB">
        <w:rPr>
          <w:rFonts w:cs="Arial"/>
        </w:rPr>
        <w:t>prair</w:t>
      </w:r>
      <w:r w:rsidR="00F26271">
        <w:rPr>
          <w:rFonts w:cs="Arial"/>
        </w:rPr>
        <w:t>i</w:t>
      </w:r>
      <w:r w:rsidR="00DF1BEB">
        <w:rPr>
          <w:rFonts w:cs="Arial"/>
        </w:rPr>
        <w:t xml:space="preserve">e </w:t>
      </w:r>
      <w:r w:rsidR="004E1AE6">
        <w:rPr>
          <w:rFonts w:cs="Arial"/>
        </w:rPr>
        <w:t>plant</w:t>
      </w:r>
      <w:r w:rsidR="001C2A7D">
        <w:rPr>
          <w:rFonts w:cs="Arial"/>
        </w:rPr>
        <w:t xml:space="preserve"> mixes perform</w:t>
      </w:r>
      <w:r w:rsidR="004E1AE6">
        <w:rPr>
          <w:rFonts w:cs="Arial"/>
        </w:rPr>
        <w:t xml:space="preserve"> well</w:t>
      </w:r>
      <w:r w:rsidR="001C2A7D">
        <w:rPr>
          <w:rFonts w:cs="Arial"/>
        </w:rPr>
        <w:t xml:space="preserve"> under </w:t>
      </w:r>
      <w:r w:rsidR="00437121">
        <w:rPr>
          <w:rFonts w:cs="Arial"/>
        </w:rPr>
        <w:t>conditions of</w:t>
      </w:r>
      <w:r w:rsidR="001C2A7D">
        <w:rPr>
          <w:rFonts w:cs="Arial"/>
        </w:rPr>
        <w:t xml:space="preserve"> altered rainfall patterns or high nitrogen</w:t>
      </w:r>
      <w:r w:rsidR="001C2A7D" w:rsidRPr="00A17C82">
        <w:rPr>
          <w:rFonts w:cs="Arial"/>
        </w:rPr>
        <w:t xml:space="preserve"> inputs</w:t>
      </w:r>
      <w:r w:rsidR="001C2A7D">
        <w:rPr>
          <w:rFonts w:cs="Arial"/>
        </w:rPr>
        <w:t>.</w:t>
      </w:r>
      <w:r w:rsidR="001C2A7D" w:rsidRPr="00A17C82">
        <w:rPr>
          <w:rFonts w:cs="Arial"/>
        </w:rPr>
        <w:t xml:space="preserve"> </w:t>
      </w:r>
      <w:r w:rsidR="00DE5554">
        <w:rPr>
          <w:rFonts w:cs="Arial"/>
        </w:rPr>
        <w:t>Environmental fluctuations or high nitrogen loads</w:t>
      </w:r>
      <w:r w:rsidR="004E1AE6">
        <w:rPr>
          <w:rFonts w:cs="Arial"/>
        </w:rPr>
        <w:t xml:space="preserve"> could </w:t>
      </w:r>
      <w:r w:rsidR="001C2A7D" w:rsidRPr="00A17C82">
        <w:rPr>
          <w:rFonts w:cs="Arial"/>
        </w:rPr>
        <w:t xml:space="preserve">alter </w:t>
      </w:r>
      <w:r w:rsidR="001C2A7D">
        <w:rPr>
          <w:rFonts w:cs="Arial"/>
        </w:rPr>
        <w:t xml:space="preserve">the functioning of </w:t>
      </w:r>
      <w:r w:rsidR="00DF1BEB">
        <w:rPr>
          <w:rFonts w:cs="Arial"/>
        </w:rPr>
        <w:t>prairie</w:t>
      </w:r>
      <w:r w:rsidR="001C2A7D">
        <w:rPr>
          <w:rFonts w:cs="Arial"/>
        </w:rPr>
        <w:t>s</w:t>
      </w:r>
      <w:r w:rsidR="001C2A7D" w:rsidRPr="00A17C82">
        <w:rPr>
          <w:rFonts w:cs="Arial"/>
        </w:rPr>
        <w:t xml:space="preserve"> to effectively </w:t>
      </w:r>
      <w:r w:rsidR="001C2A7D">
        <w:rPr>
          <w:rFonts w:cs="Arial"/>
        </w:rPr>
        <w:t>remove nitrate and prevent it from reaching waterways</w:t>
      </w:r>
      <w:r w:rsidR="00437121">
        <w:rPr>
          <w:rFonts w:cs="Arial"/>
        </w:rPr>
        <w:t>, and</w:t>
      </w:r>
      <w:r w:rsidR="00DE5554">
        <w:rPr>
          <w:rFonts w:cs="Arial"/>
        </w:rPr>
        <w:t xml:space="preserve"> </w:t>
      </w:r>
      <w:r w:rsidR="00437121">
        <w:rPr>
          <w:rFonts w:cs="Arial"/>
        </w:rPr>
        <w:t>s</w:t>
      </w:r>
      <w:r w:rsidR="00DE5554">
        <w:rPr>
          <w:rFonts w:cs="Arial"/>
        </w:rPr>
        <w:t xml:space="preserve">electing </w:t>
      </w:r>
      <w:r w:rsidR="00437121">
        <w:rPr>
          <w:rFonts w:cs="Arial"/>
        </w:rPr>
        <w:t xml:space="preserve">plant </w:t>
      </w:r>
      <w:r w:rsidR="00DE5554">
        <w:rPr>
          <w:rFonts w:cs="Arial"/>
        </w:rPr>
        <w:t>mixtures that can withstand these fluctuations would be of great value</w:t>
      </w:r>
      <w:r w:rsidR="001C2A7D">
        <w:rPr>
          <w:rFonts w:cs="Arial"/>
        </w:rPr>
        <w:t>.</w:t>
      </w:r>
      <w:r w:rsidR="004E1AE6">
        <w:rPr>
          <w:rFonts w:cs="Arial"/>
        </w:rPr>
        <w:t xml:space="preserve"> </w:t>
      </w:r>
    </w:p>
    <w:p w14:paraId="0F56F813" w14:textId="77777777" w:rsidR="00DE5554" w:rsidRDefault="00DE5554" w:rsidP="00A17C82">
      <w:pPr>
        <w:rPr>
          <w:rFonts w:cs="Arial"/>
        </w:rPr>
      </w:pPr>
    </w:p>
    <w:p w14:paraId="06BEDF60" w14:textId="455CA17C" w:rsidR="00A17C82" w:rsidRPr="00A17C82" w:rsidRDefault="00CE11DB" w:rsidP="008C2C23">
      <w:pPr>
        <w:rPr>
          <w:rFonts w:cs="Arial"/>
        </w:rPr>
      </w:pPr>
      <w:r>
        <w:rPr>
          <w:rFonts w:cs="Arial"/>
        </w:rPr>
        <w:t xml:space="preserve">We have </w:t>
      </w:r>
      <w:r w:rsidR="00F26271">
        <w:rPr>
          <w:rFonts w:cs="Arial"/>
        </w:rPr>
        <w:t>a unique</w:t>
      </w:r>
      <w:r>
        <w:rPr>
          <w:rFonts w:cs="Arial"/>
        </w:rPr>
        <w:t xml:space="preserve"> opportunity to </w:t>
      </w:r>
      <w:r w:rsidR="008C2C23">
        <w:rPr>
          <w:rFonts w:cs="Arial"/>
        </w:rPr>
        <w:t xml:space="preserve">study nitrogen uptake by plants and soils across a series of </w:t>
      </w:r>
      <w:r w:rsidR="00951FBB">
        <w:rPr>
          <w:rFonts w:cs="Arial"/>
        </w:rPr>
        <w:t xml:space="preserve">established </w:t>
      </w:r>
      <w:r w:rsidR="008C2C23">
        <w:rPr>
          <w:rFonts w:cs="Arial"/>
        </w:rPr>
        <w:t xml:space="preserve">long term </w:t>
      </w:r>
      <w:r w:rsidR="00DF1BEB">
        <w:rPr>
          <w:rFonts w:cs="Arial"/>
        </w:rPr>
        <w:t>prairie</w:t>
      </w:r>
      <w:r w:rsidR="008C2C23">
        <w:rPr>
          <w:rFonts w:cs="Arial"/>
        </w:rPr>
        <w:t xml:space="preserve"> plots</w:t>
      </w:r>
      <w:r w:rsidR="0036373B">
        <w:rPr>
          <w:rFonts w:cs="Arial"/>
        </w:rPr>
        <w:t xml:space="preserve">, with </w:t>
      </w:r>
      <w:r w:rsidR="00951FBB">
        <w:rPr>
          <w:rFonts w:cs="Arial"/>
        </w:rPr>
        <w:t>additional rainfall and nitrogen addition experiments</w:t>
      </w:r>
      <w:r w:rsidR="0036373B">
        <w:rPr>
          <w:rFonts w:cs="Arial"/>
        </w:rPr>
        <w:t xml:space="preserve">, </w:t>
      </w:r>
      <w:r w:rsidR="00A17C82" w:rsidRPr="00A17C82">
        <w:rPr>
          <w:rFonts w:cs="Arial"/>
        </w:rPr>
        <w:t xml:space="preserve">located at </w:t>
      </w:r>
      <w:r w:rsidR="008C2C23">
        <w:rPr>
          <w:rFonts w:cs="Arial"/>
        </w:rPr>
        <w:t xml:space="preserve">the </w:t>
      </w:r>
      <w:r w:rsidR="00A17C82" w:rsidRPr="00A17C82">
        <w:rPr>
          <w:rFonts w:cs="Arial"/>
        </w:rPr>
        <w:t>Cedar Creek Ecosystem Science Reserve</w:t>
      </w:r>
      <w:r>
        <w:rPr>
          <w:rFonts w:cs="Arial"/>
        </w:rPr>
        <w:t xml:space="preserve"> (CCESR)</w:t>
      </w:r>
      <w:r w:rsidR="008C2C23">
        <w:rPr>
          <w:rFonts w:cs="Arial"/>
        </w:rPr>
        <w:t xml:space="preserve">, situated in the Anoka </w:t>
      </w:r>
      <w:r w:rsidR="000343F1">
        <w:rPr>
          <w:rFonts w:cs="Arial"/>
        </w:rPr>
        <w:t>s</w:t>
      </w:r>
      <w:r w:rsidR="008C2C23">
        <w:rPr>
          <w:rFonts w:cs="Arial"/>
        </w:rPr>
        <w:t>and</w:t>
      </w:r>
      <w:r w:rsidR="000343F1">
        <w:rPr>
          <w:rFonts w:cs="Arial"/>
        </w:rPr>
        <w:t xml:space="preserve"> </w:t>
      </w:r>
      <w:r w:rsidR="008C2C23">
        <w:rPr>
          <w:rFonts w:cs="Arial"/>
        </w:rPr>
        <w:t>plain</w:t>
      </w:r>
      <w:r w:rsidR="0036373B">
        <w:rPr>
          <w:rFonts w:cs="Arial"/>
        </w:rPr>
        <w:t xml:space="preserve">. </w:t>
      </w:r>
      <w:r w:rsidR="008C2C23">
        <w:rPr>
          <w:rFonts w:cs="Arial"/>
        </w:rPr>
        <w:t xml:space="preserve">These plots </w:t>
      </w:r>
      <w:r w:rsidR="005773B0">
        <w:rPr>
          <w:rFonts w:cs="Arial"/>
        </w:rPr>
        <w:t xml:space="preserve">were first planted in 1994 and continue to be maintained with different </w:t>
      </w:r>
      <w:r w:rsidR="00437121">
        <w:rPr>
          <w:rFonts w:cs="Arial"/>
        </w:rPr>
        <w:t xml:space="preserve">plant </w:t>
      </w:r>
      <w:r w:rsidR="005773B0">
        <w:rPr>
          <w:rFonts w:cs="Arial"/>
        </w:rPr>
        <w:t xml:space="preserve">species </w:t>
      </w:r>
      <w:r w:rsidR="00437121">
        <w:rPr>
          <w:rFonts w:cs="Arial"/>
        </w:rPr>
        <w:t xml:space="preserve">mixtures </w:t>
      </w:r>
      <w:r w:rsidR="005773B0">
        <w:rPr>
          <w:rFonts w:cs="Arial"/>
        </w:rPr>
        <w:t>and diversity levels</w:t>
      </w:r>
      <w:r w:rsidR="008C2C23">
        <w:rPr>
          <w:rFonts w:cs="Arial"/>
        </w:rPr>
        <w:t>,</w:t>
      </w:r>
      <w:r w:rsidR="00544604">
        <w:rPr>
          <w:rFonts w:cs="Arial"/>
        </w:rPr>
        <w:t xml:space="preserve"> </w:t>
      </w:r>
      <w:r w:rsidR="005773B0">
        <w:rPr>
          <w:rFonts w:cs="Arial"/>
        </w:rPr>
        <w:t>including more than one dozen</w:t>
      </w:r>
      <w:r w:rsidR="00544604">
        <w:rPr>
          <w:rFonts w:cs="Arial"/>
        </w:rPr>
        <w:t xml:space="preserve"> single </w:t>
      </w:r>
      <w:r w:rsidR="004E1AE6">
        <w:rPr>
          <w:rFonts w:cs="Arial"/>
        </w:rPr>
        <w:t xml:space="preserve">plant </w:t>
      </w:r>
      <w:r w:rsidR="00544604">
        <w:rPr>
          <w:rFonts w:cs="Arial"/>
        </w:rPr>
        <w:t>species reference plots</w:t>
      </w:r>
      <w:r w:rsidR="00C323DF">
        <w:rPr>
          <w:rFonts w:cs="Arial"/>
        </w:rPr>
        <w:t xml:space="preserve">. </w:t>
      </w:r>
      <w:r w:rsidR="001A65D8">
        <w:rPr>
          <w:rFonts w:cs="Arial"/>
        </w:rPr>
        <w:t xml:space="preserve">Within species mixture plots, a </w:t>
      </w:r>
      <w:r w:rsidR="00951FBB">
        <w:rPr>
          <w:rFonts w:cs="Arial"/>
        </w:rPr>
        <w:t>rainfall manipulation experiment</w:t>
      </w:r>
      <w:r w:rsidR="001A65D8">
        <w:rPr>
          <w:rFonts w:cs="Arial"/>
        </w:rPr>
        <w:t xml:space="preserve"> was implemented in</w:t>
      </w:r>
      <w:r w:rsidR="00951FBB">
        <w:rPr>
          <w:rFonts w:cs="Arial"/>
        </w:rPr>
        <w:t xml:space="preserve"> 2017 </w:t>
      </w:r>
      <w:r w:rsidR="001A65D8">
        <w:rPr>
          <w:rFonts w:cs="Arial"/>
        </w:rPr>
        <w:t xml:space="preserve">with </w:t>
      </w:r>
      <w:r w:rsidR="00951FBB">
        <w:rPr>
          <w:rFonts w:cs="Arial"/>
        </w:rPr>
        <w:t>roofs</w:t>
      </w:r>
      <w:r w:rsidR="001A65D8">
        <w:rPr>
          <w:rFonts w:cs="Arial"/>
        </w:rPr>
        <w:t xml:space="preserve"> </w:t>
      </w:r>
      <w:r w:rsidR="00FF752C">
        <w:rPr>
          <w:rFonts w:cs="Arial"/>
        </w:rPr>
        <w:t xml:space="preserve">placed over a portion of each plot </w:t>
      </w:r>
      <w:r w:rsidR="00951FBB">
        <w:rPr>
          <w:rFonts w:cs="Arial"/>
        </w:rPr>
        <w:t xml:space="preserve">to </w:t>
      </w:r>
      <w:r w:rsidR="004E1AE6">
        <w:rPr>
          <w:rFonts w:cs="Arial"/>
        </w:rPr>
        <w:t xml:space="preserve">simulate </w:t>
      </w:r>
      <w:r w:rsidR="00951FBB">
        <w:rPr>
          <w:rFonts w:cs="Arial"/>
        </w:rPr>
        <w:t>a 100</w:t>
      </w:r>
      <w:r w:rsidR="00A02A4D">
        <w:rPr>
          <w:rFonts w:cs="Arial"/>
        </w:rPr>
        <w:t>-</w:t>
      </w:r>
      <w:r w:rsidR="00951FBB">
        <w:rPr>
          <w:rFonts w:cs="Arial"/>
        </w:rPr>
        <w:t>year drought</w:t>
      </w:r>
      <w:r w:rsidR="001A65D8">
        <w:rPr>
          <w:rFonts w:cs="Arial"/>
        </w:rPr>
        <w:t>. I</w:t>
      </w:r>
      <w:r w:rsidR="00951FBB">
        <w:rPr>
          <w:rFonts w:cs="Arial"/>
        </w:rPr>
        <w:t>nfrastructure control plots</w:t>
      </w:r>
      <w:r w:rsidR="001A65D8">
        <w:rPr>
          <w:rFonts w:cs="Arial"/>
        </w:rPr>
        <w:t xml:space="preserve"> are</w:t>
      </w:r>
      <w:r w:rsidR="00951FBB">
        <w:rPr>
          <w:rFonts w:cs="Arial"/>
        </w:rPr>
        <w:t xml:space="preserve"> in place as well. The two mixtures with the highest number of species, expected to best function for nitrate removal, </w:t>
      </w:r>
      <w:r w:rsidR="00437121">
        <w:rPr>
          <w:rFonts w:cs="Arial"/>
        </w:rPr>
        <w:t xml:space="preserve">also </w:t>
      </w:r>
      <w:r w:rsidR="00951FBB">
        <w:rPr>
          <w:rFonts w:cs="Arial"/>
        </w:rPr>
        <w:t>have added experimental tre</w:t>
      </w:r>
      <w:r w:rsidR="00FF752C">
        <w:rPr>
          <w:rFonts w:cs="Arial"/>
        </w:rPr>
        <w:t>atments of 50% added rainfall,</w:t>
      </w:r>
      <w:r w:rsidR="00951FBB">
        <w:rPr>
          <w:rFonts w:cs="Arial"/>
        </w:rPr>
        <w:t xml:space="preserve"> increased nitrogen addition</w:t>
      </w:r>
      <w:r w:rsidR="00FF752C">
        <w:rPr>
          <w:rFonts w:cs="Arial"/>
        </w:rPr>
        <w:t>, or both</w:t>
      </w:r>
      <w:r w:rsidR="00951FBB">
        <w:rPr>
          <w:rFonts w:cs="Arial"/>
        </w:rPr>
        <w:t>. In total,</w:t>
      </w:r>
      <w:r w:rsidR="0036373B">
        <w:rPr>
          <w:rFonts w:cs="Arial"/>
        </w:rPr>
        <w:t xml:space="preserve"> </w:t>
      </w:r>
      <w:r w:rsidR="00DF1BEB">
        <w:rPr>
          <w:rFonts w:cs="Arial"/>
        </w:rPr>
        <w:t xml:space="preserve">we can </w:t>
      </w:r>
      <w:r w:rsidR="0036373B">
        <w:rPr>
          <w:rFonts w:cs="Arial"/>
        </w:rPr>
        <w:t>leverage</w:t>
      </w:r>
      <w:r w:rsidR="00951FBB">
        <w:rPr>
          <w:rFonts w:cs="Arial"/>
        </w:rPr>
        <w:t xml:space="preserve"> </w:t>
      </w:r>
      <w:r w:rsidR="00FF752C">
        <w:rPr>
          <w:rFonts w:cs="Arial"/>
        </w:rPr>
        <w:t>238 experimental plots</w:t>
      </w:r>
      <w:r w:rsidR="0036373B">
        <w:rPr>
          <w:rFonts w:cs="Arial"/>
        </w:rPr>
        <w:t xml:space="preserve"> with which to collect robust data on </w:t>
      </w:r>
      <w:r w:rsidR="00DF1BEB">
        <w:rPr>
          <w:rFonts w:cs="Arial"/>
        </w:rPr>
        <w:t xml:space="preserve">nitrate conservation by </w:t>
      </w:r>
      <w:r w:rsidR="009E5BB5">
        <w:rPr>
          <w:rFonts w:cs="Arial"/>
        </w:rPr>
        <w:t>prairies</w:t>
      </w:r>
      <w:r w:rsidR="0036373B">
        <w:rPr>
          <w:rFonts w:cs="Arial"/>
        </w:rPr>
        <w:t>. We</w:t>
      </w:r>
      <w:r w:rsidR="0036373B">
        <w:rPr>
          <w:rFonts w:cs="Arial"/>
          <w:bCs/>
          <w:color w:val="000000"/>
        </w:rPr>
        <w:t xml:space="preserve"> </w:t>
      </w:r>
      <w:r w:rsidR="009E5BB5">
        <w:rPr>
          <w:rFonts w:cs="Arial"/>
          <w:bCs/>
          <w:color w:val="000000"/>
        </w:rPr>
        <w:t xml:space="preserve">can </w:t>
      </w:r>
      <w:r w:rsidR="0036373B">
        <w:rPr>
          <w:rFonts w:cs="Arial"/>
          <w:bCs/>
          <w:color w:val="000000"/>
        </w:rPr>
        <w:t>leverage a significant investment of infrastructure and personnel in place to maintain species mixture plots, nitrogen addition treatments, rain exclusion shelters, and data collection instruments</w:t>
      </w:r>
      <w:r w:rsidR="0036373B" w:rsidRPr="00A17C82">
        <w:rPr>
          <w:rFonts w:cs="Arial"/>
          <w:bCs/>
          <w:color w:val="000000"/>
        </w:rPr>
        <w:t xml:space="preserve"> </w:t>
      </w:r>
      <w:r w:rsidR="0036373B">
        <w:rPr>
          <w:rFonts w:cs="Arial"/>
          <w:bCs/>
          <w:color w:val="000000"/>
        </w:rPr>
        <w:t>(</w:t>
      </w:r>
      <w:r w:rsidR="0036373B" w:rsidRPr="00A17C82">
        <w:rPr>
          <w:rFonts w:cs="Arial"/>
          <w:bCs/>
          <w:color w:val="000000"/>
        </w:rPr>
        <w:t xml:space="preserve">an investment </w:t>
      </w:r>
      <w:r w:rsidR="0036373B" w:rsidRPr="007734B2">
        <w:rPr>
          <w:rFonts w:cs="Arial"/>
          <w:bCs/>
          <w:color w:val="000000"/>
        </w:rPr>
        <w:t xml:space="preserve">of </w:t>
      </w:r>
      <w:r w:rsidR="0036373B" w:rsidRPr="00C42F8F">
        <w:rPr>
          <w:rFonts w:cs="Arial"/>
          <w:bCs/>
          <w:color w:val="000000"/>
        </w:rPr>
        <w:t>$</w:t>
      </w:r>
      <w:r w:rsidR="0036373B">
        <w:rPr>
          <w:rFonts w:cs="Arial"/>
          <w:bCs/>
          <w:color w:val="000000"/>
        </w:rPr>
        <w:t>60</w:t>
      </w:r>
      <w:r w:rsidR="0036373B" w:rsidRPr="00C42F8F">
        <w:rPr>
          <w:rFonts w:cs="Arial"/>
          <w:bCs/>
          <w:color w:val="000000"/>
        </w:rPr>
        <w:t>,90</w:t>
      </w:r>
      <w:r w:rsidR="0036373B">
        <w:rPr>
          <w:rFonts w:cs="Arial"/>
          <w:bCs/>
          <w:color w:val="000000"/>
        </w:rPr>
        <w:t>0</w:t>
      </w:r>
      <w:r w:rsidR="0036373B" w:rsidRPr="00C42F8F">
        <w:rPr>
          <w:rFonts w:cs="Arial"/>
          <w:bCs/>
          <w:color w:val="000000"/>
        </w:rPr>
        <w:t>)</w:t>
      </w:r>
      <w:r w:rsidR="0036373B">
        <w:rPr>
          <w:rFonts w:cs="Arial"/>
          <w:bCs/>
          <w:color w:val="000000"/>
        </w:rPr>
        <w:t>.</w:t>
      </w:r>
      <w:r w:rsidR="0036373B" w:rsidRPr="007734B2">
        <w:rPr>
          <w:rFonts w:cs="Arial"/>
          <w:bCs/>
          <w:color w:val="000000"/>
        </w:rPr>
        <w:t xml:space="preserve"> </w:t>
      </w:r>
      <w:r w:rsidR="0036373B">
        <w:rPr>
          <w:rFonts w:cs="Arial"/>
          <w:bCs/>
          <w:color w:val="000000"/>
        </w:rPr>
        <w:t>We</w:t>
      </w:r>
      <w:r w:rsidR="0036373B" w:rsidRPr="007734B2">
        <w:rPr>
          <w:rFonts w:cs="Arial"/>
          <w:bCs/>
          <w:color w:val="000000"/>
        </w:rPr>
        <w:t xml:space="preserve"> have collected t</w:t>
      </w:r>
      <w:r w:rsidR="0036373B">
        <w:rPr>
          <w:rFonts w:cs="Arial"/>
          <w:bCs/>
          <w:color w:val="000000"/>
        </w:rPr>
        <w:t>hree</w:t>
      </w:r>
      <w:r w:rsidR="0036373B" w:rsidRPr="007734B2">
        <w:rPr>
          <w:rFonts w:cs="Arial"/>
          <w:bCs/>
          <w:color w:val="000000"/>
        </w:rPr>
        <w:t xml:space="preserve"> years of baseline data</w:t>
      </w:r>
      <w:r w:rsidR="0036373B">
        <w:rPr>
          <w:rFonts w:cs="Arial"/>
          <w:bCs/>
          <w:color w:val="000000"/>
        </w:rPr>
        <w:t>, and funds proposed here will provide opportunity to understand implications for nitrate removal</w:t>
      </w:r>
      <w:r w:rsidR="0036373B" w:rsidRPr="007734B2">
        <w:rPr>
          <w:rFonts w:cs="Arial"/>
          <w:bCs/>
          <w:color w:val="000000"/>
        </w:rPr>
        <w:t>. Samples will continue to be collected in 201</w:t>
      </w:r>
      <w:r w:rsidR="0036373B">
        <w:rPr>
          <w:rFonts w:cs="Arial"/>
          <w:bCs/>
          <w:color w:val="000000"/>
        </w:rPr>
        <w:t>9</w:t>
      </w:r>
      <w:r w:rsidR="0036373B" w:rsidRPr="007734B2">
        <w:rPr>
          <w:rFonts w:cs="Arial"/>
          <w:bCs/>
          <w:color w:val="000000"/>
        </w:rPr>
        <w:t xml:space="preserve"> and will be archi</w:t>
      </w:r>
      <w:r w:rsidR="0036373B">
        <w:rPr>
          <w:rFonts w:cs="Arial"/>
          <w:bCs/>
          <w:color w:val="000000"/>
        </w:rPr>
        <w:t>ved for possible processing if funds become available</w:t>
      </w:r>
      <w:r w:rsidR="0036373B" w:rsidRPr="007734B2">
        <w:rPr>
          <w:rFonts w:cs="Arial"/>
          <w:bCs/>
          <w:color w:val="000000"/>
        </w:rPr>
        <w:t xml:space="preserve">. </w:t>
      </w:r>
      <w:r w:rsidR="008C2C23">
        <w:rPr>
          <w:rFonts w:cs="Arial"/>
        </w:rPr>
        <w:t xml:space="preserve">Because these plots </w:t>
      </w:r>
      <w:r w:rsidR="00FF752C">
        <w:rPr>
          <w:rFonts w:cs="Arial"/>
        </w:rPr>
        <w:t xml:space="preserve">will </w:t>
      </w:r>
      <w:r w:rsidR="008C2C23">
        <w:rPr>
          <w:rFonts w:cs="Arial"/>
        </w:rPr>
        <w:t xml:space="preserve">have been established </w:t>
      </w:r>
      <w:r w:rsidR="008C2C23" w:rsidRPr="0036373B">
        <w:rPr>
          <w:rFonts w:cs="Arial"/>
          <w:u w:val="single"/>
        </w:rPr>
        <w:t>for</w:t>
      </w:r>
      <w:r w:rsidR="00FF752C" w:rsidRPr="0036373B">
        <w:rPr>
          <w:rFonts w:cs="Arial"/>
          <w:u w:val="single"/>
        </w:rPr>
        <w:t xml:space="preserve"> </w:t>
      </w:r>
      <w:r w:rsidR="00522546" w:rsidRPr="0036373B">
        <w:rPr>
          <w:rFonts w:cs="Arial"/>
          <w:u w:val="single"/>
        </w:rPr>
        <w:t>more than two decades</w:t>
      </w:r>
      <w:r w:rsidR="00FF752C">
        <w:rPr>
          <w:rFonts w:cs="Arial"/>
        </w:rPr>
        <w:t>,</w:t>
      </w:r>
      <w:r w:rsidR="00A17C82" w:rsidRPr="00A17C82">
        <w:rPr>
          <w:rFonts w:cs="Arial"/>
        </w:rPr>
        <w:t xml:space="preserve"> </w:t>
      </w:r>
      <w:r w:rsidR="0036373B">
        <w:rPr>
          <w:rFonts w:cs="Arial"/>
        </w:rPr>
        <w:t>we will be able to provide concrete management recommendations regarding species mixtures that can effectively remove nitrate under different nitrogen loads or climatic conditions.</w:t>
      </w:r>
      <w:r w:rsidR="003953F5">
        <w:rPr>
          <w:rFonts w:cs="Arial"/>
        </w:rPr>
        <w:t xml:space="preserve"> B</w:t>
      </w:r>
      <w:r w:rsidR="008C2C23">
        <w:rPr>
          <w:rFonts w:cs="Arial"/>
        </w:rPr>
        <w:t xml:space="preserve">ecause the </w:t>
      </w:r>
      <w:r>
        <w:rPr>
          <w:rFonts w:cs="Arial"/>
        </w:rPr>
        <w:t>CCESR</w:t>
      </w:r>
      <w:r w:rsidR="00E949C7">
        <w:rPr>
          <w:rFonts w:cs="Arial"/>
        </w:rPr>
        <w:t xml:space="preserve"> i</w:t>
      </w:r>
      <w:r w:rsidR="008C2C23">
        <w:rPr>
          <w:rFonts w:cs="Arial"/>
        </w:rPr>
        <w:t>s in</w:t>
      </w:r>
      <w:r w:rsidR="00E949C7">
        <w:rPr>
          <w:rFonts w:cs="Arial"/>
        </w:rPr>
        <w:t xml:space="preserve"> the groundwater recharge zone for the Twin </w:t>
      </w:r>
      <w:r w:rsidR="00E949C7">
        <w:rPr>
          <w:rFonts w:cs="Arial"/>
        </w:rPr>
        <w:lastRenderedPageBreak/>
        <w:t xml:space="preserve">Cities, this </w:t>
      </w:r>
      <w:r w:rsidR="008C2C23">
        <w:rPr>
          <w:rFonts w:cs="Arial"/>
        </w:rPr>
        <w:t xml:space="preserve">is </w:t>
      </w:r>
      <w:r w:rsidR="00E949C7">
        <w:rPr>
          <w:rFonts w:cs="Arial"/>
        </w:rPr>
        <w:t xml:space="preserve">an ideal site for considering </w:t>
      </w:r>
      <w:r w:rsidR="00A02A4D">
        <w:rPr>
          <w:rFonts w:cs="Arial"/>
        </w:rPr>
        <w:t xml:space="preserve">nitrate </w:t>
      </w:r>
      <w:r w:rsidR="003953F5">
        <w:rPr>
          <w:rFonts w:cs="Arial"/>
        </w:rPr>
        <w:t>mitigation from</w:t>
      </w:r>
      <w:r w:rsidR="00A02A4D">
        <w:rPr>
          <w:rFonts w:cs="Arial"/>
        </w:rPr>
        <w:t xml:space="preserve"> the water source of many Minnesotans. </w:t>
      </w:r>
    </w:p>
    <w:p w14:paraId="52AC70FE" w14:textId="77777777" w:rsidR="00C02DAD" w:rsidRDefault="00C02DAD" w:rsidP="006E0EFD">
      <w:pPr>
        <w:rPr>
          <w:rFonts w:cs="Arial"/>
          <w:b/>
        </w:rPr>
      </w:pPr>
    </w:p>
    <w:p w14:paraId="63AF63DC" w14:textId="0AFD3486" w:rsidR="00D9081F" w:rsidRPr="00A17C82"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230" w:type="dxa"/>
        <w:tblLook w:val="04A0" w:firstRow="1" w:lastRow="0" w:firstColumn="1" w:lastColumn="0" w:noHBand="0" w:noVBand="1"/>
      </w:tblPr>
      <w:tblGrid>
        <w:gridCol w:w="7580"/>
        <w:gridCol w:w="2650"/>
      </w:tblGrid>
      <w:tr w:rsidR="005C6BEB" w:rsidRPr="00EB5831" w14:paraId="48E80EA3" w14:textId="77777777" w:rsidTr="00DC6CD2">
        <w:trPr>
          <w:trHeight w:val="558"/>
        </w:trPr>
        <w:tc>
          <w:tcPr>
            <w:tcW w:w="7580" w:type="dxa"/>
          </w:tcPr>
          <w:p w14:paraId="127AA37D" w14:textId="43FDCF0B" w:rsidR="005431D4" w:rsidRPr="00A17C82" w:rsidRDefault="00686B53" w:rsidP="00DC6CD2">
            <w:pPr>
              <w:pStyle w:val="ListParagraph"/>
              <w:widowControl w:val="0"/>
              <w:autoSpaceDE w:val="0"/>
              <w:autoSpaceDN w:val="0"/>
              <w:adjustRightInd w:val="0"/>
              <w:ind w:left="274"/>
              <w:jc w:val="both"/>
            </w:pPr>
            <w:r w:rsidRPr="00C42F8F">
              <w:rPr>
                <w:rFonts w:asciiTheme="minorHAnsi" w:hAnsiTheme="minorHAnsi" w:cs="Arial"/>
                <w:b/>
              </w:rPr>
              <w:t>Activity 1:</w:t>
            </w:r>
            <w:r w:rsidRPr="00C42F8F">
              <w:rPr>
                <w:rFonts w:asciiTheme="minorHAnsi" w:hAnsiTheme="minorHAnsi" w:cs="Arial"/>
                <w:i/>
              </w:rPr>
              <w:t xml:space="preserve"> </w:t>
            </w:r>
            <w:r w:rsidR="00A17C82" w:rsidRPr="00C42F8F">
              <w:rPr>
                <w:rFonts w:asciiTheme="minorHAnsi" w:hAnsiTheme="minorHAnsi" w:cs="Arial"/>
                <w:color w:val="000000" w:themeColor="text1"/>
              </w:rPr>
              <w:t xml:space="preserve">Determine the </w:t>
            </w:r>
            <w:r w:rsidR="005C6BEB">
              <w:rPr>
                <w:rFonts w:asciiTheme="minorHAnsi" w:hAnsiTheme="minorHAnsi" w:cs="Arial"/>
                <w:color w:val="000000" w:themeColor="text1"/>
              </w:rPr>
              <w:t xml:space="preserve">nitrate removal potential </w:t>
            </w:r>
            <w:r w:rsidR="00A17C82" w:rsidRPr="00C42F8F">
              <w:rPr>
                <w:rFonts w:asciiTheme="minorHAnsi" w:hAnsiTheme="minorHAnsi" w:cs="Arial"/>
                <w:color w:val="000000" w:themeColor="text1"/>
              </w:rPr>
              <w:t xml:space="preserve">by </w:t>
            </w:r>
            <w:r w:rsidR="004810DC">
              <w:rPr>
                <w:rFonts w:asciiTheme="minorHAnsi" w:hAnsiTheme="minorHAnsi" w:cs="Arial"/>
                <w:color w:val="000000" w:themeColor="text1"/>
              </w:rPr>
              <w:t xml:space="preserve">different </w:t>
            </w:r>
            <w:r w:rsidR="009E5BB5">
              <w:rPr>
                <w:rFonts w:asciiTheme="minorHAnsi" w:hAnsiTheme="minorHAnsi" w:cs="Arial"/>
                <w:color w:val="000000" w:themeColor="text1"/>
              </w:rPr>
              <w:t>prair</w:t>
            </w:r>
            <w:r w:rsidR="00604A1A">
              <w:rPr>
                <w:rFonts w:asciiTheme="minorHAnsi" w:hAnsiTheme="minorHAnsi" w:cs="Arial"/>
                <w:color w:val="000000" w:themeColor="text1"/>
              </w:rPr>
              <w:t>i</w:t>
            </w:r>
            <w:r w:rsidR="009E5BB5">
              <w:rPr>
                <w:rFonts w:asciiTheme="minorHAnsi" w:hAnsiTheme="minorHAnsi" w:cs="Arial"/>
                <w:color w:val="000000" w:themeColor="text1"/>
              </w:rPr>
              <w:t>e</w:t>
            </w:r>
            <w:r w:rsidR="009E5BB5" w:rsidRPr="00C42F8F">
              <w:rPr>
                <w:rFonts w:asciiTheme="minorHAnsi" w:hAnsiTheme="minorHAnsi" w:cs="Arial"/>
                <w:color w:val="000000" w:themeColor="text1"/>
              </w:rPr>
              <w:t xml:space="preserve"> </w:t>
            </w:r>
            <w:r w:rsidR="004810DC">
              <w:rPr>
                <w:rFonts w:asciiTheme="minorHAnsi" w:hAnsiTheme="minorHAnsi" w:cs="Arial"/>
                <w:color w:val="000000" w:themeColor="text1"/>
              </w:rPr>
              <w:t>species mixtures</w:t>
            </w:r>
            <w:r w:rsidR="005C6BEB">
              <w:rPr>
                <w:rFonts w:asciiTheme="minorHAnsi" w:hAnsiTheme="minorHAnsi" w:cs="Arial"/>
                <w:color w:val="000000" w:themeColor="text1"/>
              </w:rPr>
              <w:t>, with or without changes in rainfall or added nitrogen</w:t>
            </w:r>
          </w:p>
        </w:tc>
        <w:tc>
          <w:tcPr>
            <w:tcW w:w="2650" w:type="dxa"/>
          </w:tcPr>
          <w:p w14:paraId="05DEA18B" w14:textId="7877FFEC" w:rsidR="00686B53" w:rsidRPr="00EB5831" w:rsidRDefault="005C6BEB" w:rsidP="003734C8">
            <w:pPr>
              <w:rPr>
                <w:rFonts w:cs="Arial"/>
              </w:rPr>
            </w:pPr>
            <w:r w:rsidRPr="00D43335">
              <w:rPr>
                <w:b/>
              </w:rPr>
              <w:t>ENRTF BUDGET: $</w:t>
            </w:r>
            <w:r>
              <w:rPr>
                <w:b/>
              </w:rPr>
              <w:t>19</w:t>
            </w:r>
            <w:r w:rsidR="003734C8">
              <w:rPr>
                <w:b/>
              </w:rPr>
              <w:t>9,917</w:t>
            </w:r>
          </w:p>
        </w:tc>
      </w:tr>
    </w:tbl>
    <w:p w14:paraId="7E1B841F" w14:textId="75365AF5" w:rsidR="0036373B" w:rsidRPr="0036373B" w:rsidRDefault="00A02A4D" w:rsidP="00C274A9">
      <w:pPr>
        <w:pStyle w:val="ListParagraph"/>
        <w:widowControl w:val="0"/>
        <w:autoSpaceDE w:val="0"/>
        <w:autoSpaceDN w:val="0"/>
        <w:adjustRightInd w:val="0"/>
        <w:ind w:left="0"/>
      </w:pPr>
      <w:r>
        <w:rPr>
          <w:rFonts w:cs="Arial"/>
        </w:rPr>
        <w:t>W</w:t>
      </w:r>
      <w:r w:rsidR="00A72CF6">
        <w:rPr>
          <w:rFonts w:cs="Arial"/>
        </w:rPr>
        <w:t xml:space="preserve">e will measure </w:t>
      </w:r>
      <w:r w:rsidR="00617CC3">
        <w:rPr>
          <w:rFonts w:cs="Arial"/>
        </w:rPr>
        <w:t xml:space="preserve">leachable </w:t>
      </w:r>
      <w:r w:rsidR="00A72CF6">
        <w:rPr>
          <w:rFonts w:cs="Arial"/>
        </w:rPr>
        <w:t>nitrate</w:t>
      </w:r>
      <w:r w:rsidR="00617CC3">
        <w:rPr>
          <w:rFonts w:cs="Arial"/>
        </w:rPr>
        <w:t xml:space="preserve"> </w:t>
      </w:r>
      <w:r w:rsidR="004E1AE6">
        <w:rPr>
          <w:rFonts w:cs="Arial"/>
        </w:rPr>
        <w:t>levels</w:t>
      </w:r>
      <w:r>
        <w:rPr>
          <w:rFonts w:cs="Arial"/>
        </w:rPr>
        <w:t xml:space="preserve"> three times per year</w:t>
      </w:r>
      <w:r w:rsidR="004E1AE6">
        <w:rPr>
          <w:rFonts w:cs="Arial"/>
        </w:rPr>
        <w:t xml:space="preserve"> </w:t>
      </w:r>
      <w:r w:rsidR="00617CC3">
        <w:rPr>
          <w:rFonts w:cs="Arial"/>
        </w:rPr>
        <w:t>through collection into resin bags</w:t>
      </w:r>
      <w:r>
        <w:rPr>
          <w:rFonts w:cs="Arial"/>
        </w:rPr>
        <w:t xml:space="preserve"> newly installed as an added value to the existing data collection efforts</w:t>
      </w:r>
      <w:r w:rsidR="00A72CF6">
        <w:rPr>
          <w:rFonts w:cs="Arial"/>
        </w:rPr>
        <w:t>. To unders</w:t>
      </w:r>
      <w:r w:rsidR="00617CC3">
        <w:rPr>
          <w:rFonts w:cs="Arial"/>
        </w:rPr>
        <w:t>t</w:t>
      </w:r>
      <w:r w:rsidR="00A72CF6">
        <w:rPr>
          <w:rFonts w:cs="Arial"/>
        </w:rPr>
        <w:t xml:space="preserve">and how nitrate is taken up by plants we will </w:t>
      </w:r>
      <w:r w:rsidR="00FF752C">
        <w:rPr>
          <w:rFonts w:cs="Arial"/>
        </w:rPr>
        <w:t xml:space="preserve">measure plant </w:t>
      </w:r>
      <w:r w:rsidR="00A72CF6">
        <w:rPr>
          <w:rFonts w:cs="Arial"/>
        </w:rPr>
        <w:t xml:space="preserve">root and shoot </w:t>
      </w:r>
      <w:r w:rsidR="00FF752C">
        <w:rPr>
          <w:rFonts w:cs="Arial"/>
        </w:rPr>
        <w:t>growth</w:t>
      </w:r>
      <w:r w:rsidR="007303DE">
        <w:rPr>
          <w:rFonts w:cs="Arial"/>
        </w:rPr>
        <w:t xml:space="preserve"> </w:t>
      </w:r>
      <w:r w:rsidR="00F010A1">
        <w:rPr>
          <w:rFonts w:cs="Arial"/>
        </w:rPr>
        <w:t xml:space="preserve">as well as </w:t>
      </w:r>
      <w:r w:rsidR="007303DE">
        <w:rPr>
          <w:rFonts w:cs="Arial"/>
        </w:rPr>
        <w:t>estimated cover of each plant species</w:t>
      </w:r>
      <w:r w:rsidR="00F010A1">
        <w:rPr>
          <w:rFonts w:cs="Arial"/>
        </w:rPr>
        <w:t>. To understand how nitrate leaching relates to the soil nitrogen pool and to the microbial mediators of nitrogen removal, we will measure soil total and extractable, available nitrogen (nitrate and ammonium), soil moisture,</w:t>
      </w:r>
      <w:r w:rsidR="007303DE">
        <w:rPr>
          <w:rFonts w:cs="Arial"/>
        </w:rPr>
        <w:t xml:space="preserve"> and soil microbial activity </w:t>
      </w:r>
      <w:r w:rsidR="00E005C1" w:rsidRPr="00C42F8F">
        <w:rPr>
          <w:rFonts w:asciiTheme="minorHAnsi" w:hAnsiTheme="minorHAnsi" w:cs="Arial"/>
          <w:color w:val="000000" w:themeColor="text1"/>
        </w:rPr>
        <w:t xml:space="preserve">throughout </w:t>
      </w:r>
      <w:r w:rsidR="00F010A1">
        <w:rPr>
          <w:rFonts w:asciiTheme="minorHAnsi" w:hAnsiTheme="minorHAnsi" w:cs="Arial"/>
          <w:color w:val="000000" w:themeColor="text1"/>
        </w:rPr>
        <w:t>each of the two</w:t>
      </w:r>
      <w:r w:rsidR="00E005C1" w:rsidRPr="00C42F8F">
        <w:rPr>
          <w:rFonts w:asciiTheme="minorHAnsi" w:hAnsiTheme="minorHAnsi" w:cs="Arial"/>
          <w:color w:val="000000" w:themeColor="text1"/>
        </w:rPr>
        <w:t xml:space="preserve"> growing season</w:t>
      </w:r>
      <w:r w:rsidR="00F010A1">
        <w:rPr>
          <w:rFonts w:asciiTheme="minorHAnsi" w:hAnsiTheme="minorHAnsi" w:cs="Arial"/>
          <w:color w:val="000000" w:themeColor="text1"/>
        </w:rPr>
        <w:t>s</w:t>
      </w:r>
      <w:r w:rsidR="00E005C1" w:rsidRPr="00C42F8F">
        <w:rPr>
          <w:rFonts w:asciiTheme="minorHAnsi" w:hAnsiTheme="minorHAnsi" w:cs="Arial"/>
          <w:color w:val="000000" w:themeColor="text1"/>
        </w:rPr>
        <w:t xml:space="preserve">. </w:t>
      </w:r>
      <w:r w:rsidR="002C4C49">
        <w:rPr>
          <w:rFonts w:asciiTheme="minorHAnsi" w:hAnsiTheme="minorHAnsi" w:cs="Arial"/>
          <w:color w:val="000000" w:themeColor="text1"/>
        </w:rPr>
        <w:t xml:space="preserve">This </w:t>
      </w:r>
      <w:r w:rsidR="00522546">
        <w:rPr>
          <w:rFonts w:asciiTheme="minorHAnsi" w:hAnsiTheme="minorHAnsi" w:cs="Arial"/>
          <w:color w:val="000000" w:themeColor="text1"/>
        </w:rPr>
        <w:t xml:space="preserve">comprehensive </w:t>
      </w:r>
      <w:r w:rsidR="00022E4A">
        <w:rPr>
          <w:rFonts w:asciiTheme="minorHAnsi" w:hAnsiTheme="minorHAnsi" w:cs="Arial"/>
          <w:color w:val="000000" w:themeColor="text1"/>
        </w:rPr>
        <w:t xml:space="preserve">sampling and analysis </w:t>
      </w:r>
      <w:r w:rsidR="002C4C49">
        <w:rPr>
          <w:rFonts w:asciiTheme="minorHAnsi" w:hAnsiTheme="minorHAnsi" w:cs="Arial"/>
          <w:color w:val="000000" w:themeColor="text1"/>
        </w:rPr>
        <w:t xml:space="preserve">effort </w:t>
      </w:r>
      <w:r w:rsidR="00022E4A">
        <w:rPr>
          <w:rFonts w:asciiTheme="minorHAnsi" w:hAnsiTheme="minorHAnsi" w:cs="Arial"/>
          <w:color w:val="000000" w:themeColor="text1"/>
        </w:rPr>
        <w:t xml:space="preserve">in 238 experimental plots, </w:t>
      </w:r>
      <w:r w:rsidR="002C4C49">
        <w:rPr>
          <w:rFonts w:asciiTheme="minorHAnsi" w:hAnsiTheme="minorHAnsi" w:cs="Arial"/>
          <w:color w:val="000000" w:themeColor="text1"/>
        </w:rPr>
        <w:t>over two years</w:t>
      </w:r>
      <w:r w:rsidR="00022E4A">
        <w:rPr>
          <w:rFonts w:asciiTheme="minorHAnsi" w:hAnsiTheme="minorHAnsi" w:cs="Arial"/>
          <w:color w:val="000000" w:themeColor="text1"/>
        </w:rPr>
        <w:t>,</w:t>
      </w:r>
      <w:r w:rsidR="002C4C49">
        <w:rPr>
          <w:rFonts w:asciiTheme="minorHAnsi" w:hAnsiTheme="minorHAnsi" w:cs="Arial"/>
          <w:color w:val="000000" w:themeColor="text1"/>
        </w:rPr>
        <w:t xml:space="preserve"> will provide valuable training</w:t>
      </w:r>
      <w:r w:rsidR="00022E4A">
        <w:rPr>
          <w:rFonts w:asciiTheme="minorHAnsi" w:hAnsiTheme="minorHAnsi" w:cs="Arial"/>
          <w:color w:val="000000" w:themeColor="text1"/>
        </w:rPr>
        <w:t xml:space="preserve"> and education</w:t>
      </w:r>
      <w:r w:rsidR="002C4C49">
        <w:rPr>
          <w:rFonts w:asciiTheme="minorHAnsi" w:hAnsiTheme="minorHAnsi" w:cs="Arial"/>
          <w:color w:val="000000" w:themeColor="text1"/>
        </w:rPr>
        <w:t xml:space="preserve"> </w:t>
      </w:r>
      <w:r w:rsidR="00022E4A">
        <w:rPr>
          <w:rFonts w:asciiTheme="minorHAnsi" w:hAnsiTheme="minorHAnsi" w:cs="Arial"/>
          <w:color w:val="000000" w:themeColor="text1"/>
        </w:rPr>
        <w:t xml:space="preserve">in applied ecological research for one </w:t>
      </w:r>
      <w:r w:rsidR="00522546">
        <w:rPr>
          <w:rFonts w:asciiTheme="minorHAnsi" w:hAnsiTheme="minorHAnsi" w:cs="Arial"/>
          <w:color w:val="000000" w:themeColor="text1"/>
        </w:rPr>
        <w:t>postdoctoral researcher</w:t>
      </w:r>
      <w:r w:rsidR="00022E4A">
        <w:rPr>
          <w:rFonts w:asciiTheme="minorHAnsi" w:hAnsiTheme="minorHAnsi" w:cs="Arial"/>
          <w:color w:val="000000" w:themeColor="text1"/>
        </w:rPr>
        <w:t xml:space="preserve">. We also provide </w:t>
      </w:r>
      <w:r w:rsidR="00FF752C">
        <w:t>research opportunities for young students considering careers in science</w:t>
      </w:r>
      <w:r w:rsidR="00022E4A">
        <w:t xml:space="preserve"> or land management. </w:t>
      </w:r>
      <w:r w:rsidR="0036373B">
        <w:rPr>
          <w:rFonts w:cs="Arial"/>
          <w:bCs/>
          <w:color w:val="000000"/>
        </w:rPr>
        <w:t>Our project will contribute to the</w:t>
      </w:r>
      <w:r w:rsidR="007303DE">
        <w:rPr>
          <w:rFonts w:cs="Arial"/>
          <w:bCs/>
          <w:color w:val="000000"/>
        </w:rPr>
        <w:t xml:space="preserve"> development of best management practices</w:t>
      </w:r>
      <w:r w:rsidR="00B574E3">
        <w:rPr>
          <w:rFonts w:cs="Arial"/>
          <w:bCs/>
          <w:color w:val="000000"/>
        </w:rPr>
        <w:t xml:space="preserve"> for mitigating nitrate leaching</w:t>
      </w:r>
      <w:r w:rsidR="007303DE">
        <w:rPr>
          <w:rFonts w:cs="Arial"/>
          <w:bCs/>
          <w:color w:val="000000"/>
        </w:rPr>
        <w:t xml:space="preserve"> </w:t>
      </w:r>
      <w:r w:rsidR="00B574E3">
        <w:rPr>
          <w:rFonts w:cs="Arial"/>
          <w:bCs/>
          <w:color w:val="000000"/>
        </w:rPr>
        <w:t>in</w:t>
      </w:r>
      <w:r w:rsidR="007303DE">
        <w:rPr>
          <w:rFonts w:cs="Arial"/>
          <w:bCs/>
          <w:color w:val="000000"/>
        </w:rPr>
        <w:t xml:space="preserve"> vulnerable sandy soils through </w:t>
      </w:r>
      <w:r w:rsidR="0036373B">
        <w:rPr>
          <w:rFonts w:cs="Arial"/>
          <w:bCs/>
          <w:color w:val="000000"/>
        </w:rPr>
        <w:t>identification seed mixes</w:t>
      </w:r>
      <w:r w:rsidR="007303DE">
        <w:rPr>
          <w:rFonts w:cs="Arial"/>
          <w:bCs/>
          <w:color w:val="000000"/>
        </w:rPr>
        <w:t xml:space="preserve"> that </w:t>
      </w:r>
      <w:r w:rsidR="0036373B">
        <w:rPr>
          <w:rFonts w:cs="Arial"/>
          <w:bCs/>
          <w:color w:val="000000"/>
        </w:rPr>
        <w:t xml:space="preserve">best perform to remove nitrate from groundwater sources </w:t>
      </w:r>
      <w:r w:rsidR="007303DE">
        <w:rPr>
          <w:rFonts w:cs="Arial"/>
          <w:bCs/>
          <w:color w:val="000000"/>
        </w:rPr>
        <w:t xml:space="preserve">across a </w:t>
      </w:r>
      <w:r w:rsidR="0036373B">
        <w:rPr>
          <w:rFonts w:cs="Arial"/>
          <w:bCs/>
          <w:color w:val="000000"/>
        </w:rPr>
        <w:t>range of climatic conditions. W</w:t>
      </w:r>
      <w:r w:rsidR="0036373B" w:rsidRPr="00A17C82">
        <w:rPr>
          <w:rFonts w:cs="Arial"/>
          <w:bCs/>
          <w:color w:val="000000"/>
        </w:rPr>
        <w:t xml:space="preserve">e will communicate with the scientific community through peer-reviewed publications. We will produce reports for interested stakeholders </w:t>
      </w:r>
      <w:r w:rsidR="0036373B">
        <w:rPr>
          <w:rFonts w:cs="Arial"/>
          <w:bCs/>
          <w:color w:val="000000"/>
        </w:rPr>
        <w:t>including</w:t>
      </w:r>
      <w:r w:rsidR="0036373B" w:rsidRPr="00A17C82">
        <w:rPr>
          <w:rFonts w:cs="Arial"/>
          <w:bCs/>
          <w:color w:val="000000"/>
        </w:rPr>
        <w:t xml:space="preserve"> farmers, land managers, and state and federal government and agencies.</w:t>
      </w:r>
    </w:p>
    <w:p w14:paraId="3548EFD5" w14:textId="77777777" w:rsidR="005D3CB2" w:rsidRPr="00D43335" w:rsidRDefault="005D3CB2" w:rsidP="005D3CB2">
      <w:pPr>
        <w:pStyle w:val="ListParagraph"/>
        <w:widowControl w:val="0"/>
        <w:autoSpaceDE w:val="0"/>
        <w:autoSpaceDN w:val="0"/>
        <w:adjustRightInd w:val="0"/>
        <w:ind w:left="0" w:firstLine="274"/>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2250"/>
      </w:tblGrid>
      <w:tr w:rsidR="006E0EFD" w:rsidRPr="009D6EC8" w14:paraId="4A6D1395" w14:textId="77777777" w:rsidTr="00C41A17">
        <w:trPr>
          <w:trHeight w:val="305"/>
        </w:trPr>
        <w:tc>
          <w:tcPr>
            <w:tcW w:w="8028" w:type="dxa"/>
          </w:tcPr>
          <w:p w14:paraId="03EEA547" w14:textId="09C8C2D1" w:rsidR="006E0EFD" w:rsidRPr="009D6EC8" w:rsidRDefault="00A13F26" w:rsidP="006E0EFD">
            <w:pPr>
              <w:rPr>
                <w:rFonts w:cs="Arial"/>
                <w:b/>
              </w:rPr>
            </w:pPr>
            <w:r w:rsidRPr="009D6EC8">
              <w:rPr>
                <w:rFonts w:cs="Arial"/>
                <w:b/>
              </w:rPr>
              <w:t>Outcome</w:t>
            </w:r>
            <w:r w:rsidR="00FF752C">
              <w:rPr>
                <w:rFonts w:cs="Arial"/>
                <w:b/>
              </w:rPr>
              <w:t>s</w:t>
            </w:r>
          </w:p>
        </w:tc>
        <w:tc>
          <w:tcPr>
            <w:tcW w:w="2250" w:type="dxa"/>
          </w:tcPr>
          <w:p w14:paraId="7547469E" w14:textId="77777777" w:rsidR="006E0EFD" w:rsidRPr="009D6EC8" w:rsidRDefault="006E0EFD" w:rsidP="005F7237">
            <w:pPr>
              <w:jc w:val="center"/>
              <w:rPr>
                <w:rFonts w:cs="Arial"/>
                <w:b/>
              </w:rPr>
            </w:pPr>
            <w:r w:rsidRPr="009D6EC8">
              <w:rPr>
                <w:rFonts w:cs="Arial"/>
                <w:b/>
              </w:rPr>
              <w:t>Completion Date</w:t>
            </w:r>
          </w:p>
        </w:tc>
      </w:tr>
      <w:tr w:rsidR="004810DC" w:rsidRPr="009D6EC8" w14:paraId="14606B39" w14:textId="77777777" w:rsidTr="00C41A17">
        <w:tc>
          <w:tcPr>
            <w:tcW w:w="8028" w:type="dxa"/>
          </w:tcPr>
          <w:p w14:paraId="7712BA32" w14:textId="7D399347" w:rsidR="004810DC" w:rsidRPr="00D43335" w:rsidRDefault="004810DC" w:rsidP="00561750">
            <w:pPr>
              <w:rPr>
                <w:rFonts w:asciiTheme="minorHAnsi" w:hAnsiTheme="minorHAnsi" w:cs="Arial"/>
              </w:rPr>
            </w:pPr>
            <w:r w:rsidRPr="00D43335">
              <w:rPr>
                <w:rFonts w:asciiTheme="minorHAnsi" w:hAnsiTheme="minorHAnsi" w:cs="Arial"/>
                <w:i/>
              </w:rPr>
              <w:t>1.</w:t>
            </w:r>
            <w:r w:rsidRPr="00D43335">
              <w:rPr>
                <w:rFonts w:asciiTheme="minorHAnsi" w:hAnsiTheme="minorHAnsi" w:cs="Arial"/>
              </w:rPr>
              <w:t xml:space="preserve"> Collect and analyze plant samples over 2 growing seasons</w:t>
            </w:r>
          </w:p>
        </w:tc>
        <w:tc>
          <w:tcPr>
            <w:tcW w:w="2250" w:type="dxa"/>
          </w:tcPr>
          <w:p w14:paraId="247E17B6" w14:textId="39F1DE9B" w:rsidR="004810DC" w:rsidRPr="00D43335" w:rsidRDefault="004810DC" w:rsidP="006E0EFD">
            <w:pPr>
              <w:rPr>
                <w:rFonts w:asciiTheme="minorHAnsi" w:hAnsiTheme="minorHAnsi" w:cs="Arial"/>
                <w:color w:val="000000" w:themeColor="text1"/>
              </w:rPr>
            </w:pPr>
            <w:r>
              <w:rPr>
                <w:rFonts w:asciiTheme="minorHAnsi" w:hAnsiTheme="minorHAnsi" w:cs="Arial"/>
                <w:color w:val="000000" w:themeColor="text1"/>
              </w:rPr>
              <w:t>December 31, 202</w:t>
            </w:r>
            <w:r w:rsidR="00532095">
              <w:rPr>
                <w:rFonts w:asciiTheme="minorHAnsi" w:hAnsiTheme="minorHAnsi" w:cs="Arial"/>
                <w:color w:val="000000" w:themeColor="text1"/>
              </w:rPr>
              <w:t>1</w:t>
            </w:r>
          </w:p>
        </w:tc>
      </w:tr>
      <w:tr w:rsidR="006E0EFD" w:rsidRPr="009D6EC8" w14:paraId="1EE78FEA" w14:textId="77777777" w:rsidTr="00C41A17">
        <w:tc>
          <w:tcPr>
            <w:tcW w:w="8028" w:type="dxa"/>
          </w:tcPr>
          <w:p w14:paraId="55952274" w14:textId="70461DEA" w:rsidR="006E0EFD" w:rsidRPr="00D43335" w:rsidRDefault="004810DC" w:rsidP="00561750">
            <w:pPr>
              <w:rPr>
                <w:rFonts w:asciiTheme="minorHAnsi" w:hAnsiTheme="minorHAnsi" w:cs="Arial"/>
                <w:i/>
              </w:rPr>
            </w:pPr>
            <w:r>
              <w:rPr>
                <w:rFonts w:asciiTheme="minorHAnsi" w:hAnsiTheme="minorHAnsi" w:cs="Arial"/>
                <w:i/>
              </w:rPr>
              <w:t>2</w:t>
            </w:r>
            <w:r w:rsidR="006E0EFD" w:rsidRPr="00D43335">
              <w:rPr>
                <w:rFonts w:asciiTheme="minorHAnsi" w:hAnsiTheme="minorHAnsi" w:cs="Arial"/>
                <w:i/>
              </w:rPr>
              <w:t xml:space="preserve">. </w:t>
            </w:r>
            <w:r w:rsidR="00A17C82" w:rsidRPr="00D43335">
              <w:rPr>
                <w:rFonts w:asciiTheme="minorHAnsi" w:hAnsiTheme="minorHAnsi" w:cs="Arial"/>
                <w:color w:val="000000" w:themeColor="text1"/>
              </w:rPr>
              <w:t xml:space="preserve">Collect and analyze soil, and nutrient samples over </w:t>
            </w:r>
            <w:r>
              <w:rPr>
                <w:rFonts w:asciiTheme="minorHAnsi" w:hAnsiTheme="minorHAnsi" w:cs="Arial"/>
                <w:color w:val="000000" w:themeColor="text1"/>
              </w:rPr>
              <w:t>2</w:t>
            </w:r>
            <w:r w:rsidR="00A17C82" w:rsidRPr="00D43335">
              <w:rPr>
                <w:rFonts w:asciiTheme="minorHAnsi" w:hAnsiTheme="minorHAnsi" w:cs="Arial"/>
                <w:color w:val="000000" w:themeColor="text1"/>
              </w:rPr>
              <w:t xml:space="preserve"> growing seasons</w:t>
            </w:r>
          </w:p>
        </w:tc>
        <w:tc>
          <w:tcPr>
            <w:tcW w:w="2250" w:type="dxa"/>
          </w:tcPr>
          <w:p w14:paraId="5557A87C" w14:textId="00699E38" w:rsidR="006E0EFD" w:rsidRPr="00D43335" w:rsidRDefault="00A17C82" w:rsidP="006E0EFD">
            <w:pPr>
              <w:rPr>
                <w:rFonts w:asciiTheme="minorHAnsi" w:hAnsiTheme="minorHAnsi" w:cs="Arial"/>
                <w:i/>
              </w:rPr>
            </w:pPr>
            <w:r w:rsidRPr="00D43335">
              <w:rPr>
                <w:rFonts w:asciiTheme="minorHAnsi" w:hAnsiTheme="minorHAnsi" w:cs="Arial"/>
                <w:color w:val="000000" w:themeColor="text1"/>
              </w:rPr>
              <w:t>December 31</w:t>
            </w:r>
            <w:r w:rsidRPr="00D43335">
              <w:rPr>
                <w:rFonts w:asciiTheme="minorHAnsi" w:hAnsiTheme="minorHAnsi" w:cs="Arial"/>
                <w:color w:val="000000" w:themeColor="text1"/>
                <w:vertAlign w:val="superscript"/>
              </w:rPr>
              <w:t>st</w:t>
            </w:r>
            <w:r w:rsidRPr="00D43335">
              <w:rPr>
                <w:rFonts w:asciiTheme="minorHAnsi" w:hAnsiTheme="minorHAnsi" w:cs="Arial"/>
                <w:color w:val="000000" w:themeColor="text1"/>
              </w:rPr>
              <w:t xml:space="preserve"> 202</w:t>
            </w:r>
            <w:r w:rsidR="00532095">
              <w:rPr>
                <w:rFonts w:asciiTheme="minorHAnsi" w:hAnsiTheme="minorHAnsi" w:cs="Arial"/>
                <w:color w:val="000000" w:themeColor="text1"/>
              </w:rPr>
              <w:t>1</w:t>
            </w:r>
          </w:p>
        </w:tc>
      </w:tr>
      <w:tr w:rsidR="006E0EFD" w:rsidRPr="009D6EC8" w14:paraId="343D89C2" w14:textId="77777777" w:rsidTr="00C41A17">
        <w:tc>
          <w:tcPr>
            <w:tcW w:w="8028" w:type="dxa"/>
          </w:tcPr>
          <w:p w14:paraId="3488C8F1" w14:textId="4CF697D0" w:rsidR="006E0EFD" w:rsidRPr="00D43335" w:rsidRDefault="004810DC" w:rsidP="005711D3">
            <w:pPr>
              <w:rPr>
                <w:rFonts w:asciiTheme="minorHAnsi" w:hAnsiTheme="minorHAnsi" w:cs="Arial"/>
                <w:i/>
              </w:rPr>
            </w:pPr>
            <w:r>
              <w:rPr>
                <w:rFonts w:asciiTheme="minorHAnsi" w:hAnsiTheme="minorHAnsi" w:cs="Arial"/>
                <w:i/>
              </w:rPr>
              <w:t>3</w:t>
            </w:r>
            <w:r w:rsidR="006E0EFD" w:rsidRPr="00D43335">
              <w:rPr>
                <w:rFonts w:asciiTheme="minorHAnsi" w:hAnsiTheme="minorHAnsi" w:cs="Arial"/>
                <w:color w:val="000000" w:themeColor="text1"/>
              </w:rPr>
              <w:t xml:space="preserve">. </w:t>
            </w:r>
            <w:r w:rsidR="005711D3" w:rsidRPr="00D43335">
              <w:rPr>
                <w:rFonts w:asciiTheme="minorHAnsi" w:hAnsiTheme="minorHAnsi" w:cs="Arial"/>
                <w:color w:val="000000" w:themeColor="text1"/>
              </w:rPr>
              <w:t>S</w:t>
            </w:r>
            <w:r w:rsidR="00A17C82" w:rsidRPr="00D43335">
              <w:rPr>
                <w:rFonts w:asciiTheme="minorHAnsi" w:hAnsiTheme="minorHAnsi" w:cs="Arial"/>
                <w:color w:val="000000" w:themeColor="text1"/>
              </w:rPr>
              <w:t>tatistical analysis of data</w:t>
            </w:r>
            <w:r w:rsidR="00F31A19" w:rsidRPr="00D43335">
              <w:rPr>
                <w:rFonts w:asciiTheme="minorHAnsi" w:hAnsiTheme="minorHAnsi" w:cs="Arial"/>
                <w:color w:val="000000" w:themeColor="text1"/>
              </w:rPr>
              <w:t xml:space="preserve"> to determine treatment effects</w:t>
            </w:r>
          </w:p>
        </w:tc>
        <w:tc>
          <w:tcPr>
            <w:tcW w:w="2250" w:type="dxa"/>
          </w:tcPr>
          <w:p w14:paraId="7E91A395" w14:textId="40D2DE79" w:rsidR="006E0EFD" w:rsidRPr="00D43335" w:rsidRDefault="004810DC" w:rsidP="006E0EFD">
            <w:pPr>
              <w:rPr>
                <w:rFonts w:asciiTheme="minorHAnsi" w:hAnsiTheme="minorHAnsi" w:cs="Arial"/>
                <w:i/>
              </w:rPr>
            </w:pPr>
            <w:r>
              <w:rPr>
                <w:rFonts w:asciiTheme="minorHAnsi" w:hAnsiTheme="minorHAnsi" w:cs="Arial"/>
                <w:color w:val="000000" w:themeColor="text1"/>
              </w:rPr>
              <w:t>March</w:t>
            </w:r>
            <w:r w:rsidR="00A17C82" w:rsidRPr="00D43335">
              <w:rPr>
                <w:rFonts w:asciiTheme="minorHAnsi" w:hAnsiTheme="minorHAnsi" w:cs="Arial"/>
                <w:color w:val="000000" w:themeColor="text1"/>
              </w:rPr>
              <w:t xml:space="preserve"> 31</w:t>
            </w:r>
            <w:r w:rsidR="00A17C82" w:rsidRPr="00D43335">
              <w:rPr>
                <w:rFonts w:asciiTheme="minorHAnsi" w:hAnsiTheme="minorHAnsi" w:cs="Arial"/>
                <w:color w:val="000000" w:themeColor="text1"/>
                <w:vertAlign w:val="superscript"/>
              </w:rPr>
              <w:t>st</w:t>
            </w:r>
            <w:r w:rsidR="00A17C82" w:rsidRPr="00D43335">
              <w:rPr>
                <w:rFonts w:asciiTheme="minorHAnsi" w:hAnsiTheme="minorHAnsi" w:cs="Arial"/>
                <w:color w:val="000000" w:themeColor="text1"/>
              </w:rPr>
              <w:t xml:space="preserve"> 202</w:t>
            </w:r>
            <w:r w:rsidR="00532095">
              <w:rPr>
                <w:rFonts w:asciiTheme="minorHAnsi" w:hAnsiTheme="minorHAnsi" w:cs="Arial"/>
                <w:color w:val="000000" w:themeColor="text1"/>
              </w:rPr>
              <w:t>1</w:t>
            </w:r>
          </w:p>
        </w:tc>
      </w:tr>
      <w:tr w:rsidR="006E0EFD" w:rsidRPr="009D6EC8" w14:paraId="5A949BC8" w14:textId="77777777" w:rsidTr="00C41A17">
        <w:tc>
          <w:tcPr>
            <w:tcW w:w="8028" w:type="dxa"/>
          </w:tcPr>
          <w:p w14:paraId="37DAB06B" w14:textId="62C214AA" w:rsidR="006E0EFD" w:rsidRPr="00D43335" w:rsidRDefault="004810DC" w:rsidP="008949EE">
            <w:pPr>
              <w:rPr>
                <w:rFonts w:asciiTheme="minorHAnsi" w:hAnsiTheme="minorHAnsi" w:cs="Arial"/>
                <w:i/>
              </w:rPr>
            </w:pPr>
            <w:r>
              <w:rPr>
                <w:rFonts w:asciiTheme="minorHAnsi" w:hAnsiTheme="minorHAnsi" w:cs="Arial"/>
                <w:i/>
              </w:rPr>
              <w:t>4</w:t>
            </w:r>
            <w:r w:rsidR="006E0EFD" w:rsidRPr="00D43335">
              <w:rPr>
                <w:rFonts w:asciiTheme="minorHAnsi" w:hAnsiTheme="minorHAnsi" w:cs="Arial"/>
                <w:i/>
              </w:rPr>
              <w:t xml:space="preserve">. </w:t>
            </w:r>
            <w:r w:rsidR="00A17C82" w:rsidRPr="00D43335">
              <w:rPr>
                <w:rFonts w:asciiTheme="minorHAnsi" w:hAnsiTheme="minorHAnsi" w:cs="Arial"/>
                <w:color w:val="000000" w:themeColor="text1"/>
              </w:rPr>
              <w:t>Write</w:t>
            </w:r>
            <w:r w:rsidR="00B574E3">
              <w:rPr>
                <w:rFonts w:asciiTheme="minorHAnsi" w:hAnsiTheme="minorHAnsi" w:cs="Arial"/>
                <w:color w:val="000000" w:themeColor="text1"/>
              </w:rPr>
              <w:t xml:space="preserve"> and deliver</w:t>
            </w:r>
            <w:r w:rsidR="00A17C82" w:rsidRPr="00D43335">
              <w:rPr>
                <w:rFonts w:asciiTheme="minorHAnsi" w:hAnsiTheme="minorHAnsi" w:cs="Arial"/>
                <w:color w:val="000000" w:themeColor="text1"/>
              </w:rPr>
              <w:t xml:space="preserve"> reports </w:t>
            </w:r>
            <w:r w:rsidR="00974600">
              <w:rPr>
                <w:rFonts w:asciiTheme="minorHAnsi" w:hAnsiTheme="minorHAnsi" w:cs="Arial"/>
                <w:color w:val="000000" w:themeColor="text1"/>
              </w:rPr>
              <w:t>to state agencies</w:t>
            </w:r>
            <w:r w:rsidR="00C274A9">
              <w:rPr>
                <w:rFonts w:asciiTheme="minorHAnsi" w:hAnsiTheme="minorHAnsi" w:cs="Arial"/>
                <w:color w:val="000000" w:themeColor="text1"/>
              </w:rPr>
              <w:t xml:space="preserve"> such as </w:t>
            </w:r>
            <w:r w:rsidR="00974600">
              <w:rPr>
                <w:rFonts w:asciiTheme="minorHAnsi" w:hAnsiTheme="minorHAnsi" w:cs="Arial"/>
                <w:color w:val="000000" w:themeColor="text1"/>
              </w:rPr>
              <w:t xml:space="preserve">BWSR and MDA, and any interested legislators, </w:t>
            </w:r>
            <w:r w:rsidR="00B574E3">
              <w:rPr>
                <w:rFonts w:asciiTheme="minorHAnsi" w:hAnsiTheme="minorHAnsi" w:cs="Arial"/>
                <w:color w:val="000000" w:themeColor="text1"/>
              </w:rPr>
              <w:t xml:space="preserve">detailing </w:t>
            </w:r>
            <w:r w:rsidR="00974600">
              <w:rPr>
                <w:rFonts w:asciiTheme="minorHAnsi" w:hAnsiTheme="minorHAnsi" w:cs="Arial"/>
                <w:color w:val="000000" w:themeColor="text1"/>
              </w:rPr>
              <w:t>the effectiveness of each prairie mixture on nitrate leaching across environmental conditions.</w:t>
            </w:r>
          </w:p>
        </w:tc>
        <w:tc>
          <w:tcPr>
            <w:tcW w:w="2250" w:type="dxa"/>
          </w:tcPr>
          <w:p w14:paraId="5BAEC3A6" w14:textId="63829DD2" w:rsidR="006E0EFD" w:rsidRPr="00D43335" w:rsidRDefault="00A17C82" w:rsidP="006E0EFD">
            <w:pPr>
              <w:rPr>
                <w:rFonts w:asciiTheme="minorHAnsi" w:hAnsiTheme="minorHAnsi" w:cs="Arial"/>
                <w:i/>
              </w:rPr>
            </w:pPr>
            <w:r w:rsidRPr="00D43335">
              <w:rPr>
                <w:rFonts w:asciiTheme="minorHAnsi" w:hAnsiTheme="minorHAnsi" w:cs="Arial"/>
                <w:color w:val="000000" w:themeColor="text1"/>
              </w:rPr>
              <w:t>Ju</w:t>
            </w:r>
            <w:r w:rsidR="004810DC">
              <w:rPr>
                <w:rFonts w:asciiTheme="minorHAnsi" w:hAnsiTheme="minorHAnsi" w:cs="Arial"/>
                <w:color w:val="000000" w:themeColor="text1"/>
              </w:rPr>
              <w:t>ne</w:t>
            </w:r>
            <w:r w:rsidR="00EB7A1B">
              <w:rPr>
                <w:rFonts w:asciiTheme="minorHAnsi" w:hAnsiTheme="minorHAnsi" w:cs="Arial"/>
                <w:color w:val="000000" w:themeColor="text1"/>
              </w:rPr>
              <w:t xml:space="preserve"> 30</w:t>
            </w:r>
            <w:r w:rsidRPr="00D43335">
              <w:rPr>
                <w:rFonts w:asciiTheme="minorHAnsi" w:hAnsiTheme="minorHAnsi" w:cs="Arial"/>
                <w:color w:val="000000" w:themeColor="text1"/>
              </w:rPr>
              <w:t xml:space="preserve"> 202</w:t>
            </w:r>
            <w:r w:rsidR="00532095">
              <w:rPr>
                <w:rFonts w:asciiTheme="minorHAnsi" w:hAnsiTheme="minorHAnsi" w:cs="Arial"/>
                <w:color w:val="000000" w:themeColor="text1"/>
              </w:rPr>
              <w:t>2</w:t>
            </w:r>
          </w:p>
        </w:tc>
      </w:tr>
    </w:tbl>
    <w:p w14:paraId="122937C1" w14:textId="77777777" w:rsidR="00C02DAD" w:rsidRDefault="00C02DAD" w:rsidP="005431D4">
      <w:pPr>
        <w:tabs>
          <w:tab w:val="left" w:pos="540"/>
        </w:tabs>
        <w:autoSpaceDE w:val="0"/>
        <w:autoSpaceDN w:val="0"/>
        <w:adjustRightInd w:val="0"/>
        <w:rPr>
          <w:rFonts w:cs="Arial"/>
          <w:i/>
        </w:rPr>
      </w:pPr>
    </w:p>
    <w:p w14:paraId="5E4C761D" w14:textId="77777777" w:rsidR="00C02DAD" w:rsidRDefault="006E0EFD" w:rsidP="00A17C82">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365C274E" w14:textId="77777777" w:rsidR="005431D4" w:rsidRPr="00474B3B" w:rsidRDefault="005431D4" w:rsidP="005431D4">
      <w:pPr>
        <w:pStyle w:val="Bodycopy"/>
        <w:spacing w:before="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Look w:val="04A0" w:firstRow="1" w:lastRow="0" w:firstColumn="1" w:lastColumn="0" w:noHBand="0" w:noVBand="1"/>
      </w:tblPr>
      <w:tblGrid>
        <w:gridCol w:w="2534"/>
        <w:gridCol w:w="2051"/>
        <w:gridCol w:w="3600"/>
        <w:gridCol w:w="1885"/>
      </w:tblGrid>
      <w:tr w:rsidR="00A17C82" w14:paraId="58199740" w14:textId="77777777" w:rsidTr="00D43335">
        <w:trPr>
          <w:trHeight w:val="350"/>
        </w:trPr>
        <w:tc>
          <w:tcPr>
            <w:tcW w:w="2534" w:type="dxa"/>
          </w:tcPr>
          <w:p w14:paraId="085C9CFA" w14:textId="77777777" w:rsidR="005431D4" w:rsidRDefault="005431D4" w:rsidP="00131388">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051" w:type="dxa"/>
          </w:tcPr>
          <w:p w14:paraId="63FEDACA" w14:textId="77777777" w:rsidR="005431D4" w:rsidRDefault="005431D4" w:rsidP="00131388">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3600" w:type="dxa"/>
          </w:tcPr>
          <w:p w14:paraId="431C6B86" w14:textId="77777777" w:rsidR="005431D4" w:rsidRDefault="005431D4" w:rsidP="00131388">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1885" w:type="dxa"/>
          </w:tcPr>
          <w:p w14:paraId="3455BBFD" w14:textId="77777777" w:rsidR="005431D4" w:rsidRDefault="005431D4" w:rsidP="00131388">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A17C82" w14:paraId="4051918E" w14:textId="77777777" w:rsidTr="00A17C82">
        <w:tc>
          <w:tcPr>
            <w:tcW w:w="2534" w:type="dxa"/>
          </w:tcPr>
          <w:p w14:paraId="68CC50E2" w14:textId="77777777" w:rsidR="005431D4" w:rsidRDefault="00A17C82" w:rsidP="00131388">
            <w:pPr>
              <w:pStyle w:val="Bodycopy"/>
              <w:rPr>
                <w:rFonts w:ascii="Calibri" w:hAnsi="Calibri" w:cs="Arial"/>
                <w:b/>
                <w:noProof/>
                <w:color w:val="auto"/>
                <w:sz w:val="22"/>
                <w:szCs w:val="22"/>
              </w:rPr>
            </w:pPr>
            <w:r w:rsidRPr="003F42A4">
              <w:rPr>
                <w:rFonts w:cs="Arial"/>
                <w:color w:val="000000" w:themeColor="text1"/>
                <w:sz w:val="22"/>
                <w:szCs w:val="22"/>
              </w:rPr>
              <w:t>Dr. Jessica Gutknecht</w:t>
            </w:r>
          </w:p>
        </w:tc>
        <w:tc>
          <w:tcPr>
            <w:tcW w:w="2051" w:type="dxa"/>
          </w:tcPr>
          <w:p w14:paraId="0147D7C1" w14:textId="77777777" w:rsidR="005431D4" w:rsidRPr="00CA7C49" w:rsidRDefault="00A17C82" w:rsidP="00131388">
            <w:pPr>
              <w:pStyle w:val="Bodycopy"/>
              <w:rPr>
                <w:rFonts w:ascii="Calibri" w:hAnsi="Calibri" w:cs="Arial"/>
                <w:noProof/>
                <w:color w:val="auto"/>
                <w:sz w:val="22"/>
                <w:szCs w:val="22"/>
              </w:rPr>
            </w:pPr>
            <w:r w:rsidRPr="00CA7C49">
              <w:rPr>
                <w:rFonts w:ascii="Calibri" w:hAnsi="Calibri" w:cs="Arial"/>
                <w:noProof/>
                <w:color w:val="auto"/>
                <w:sz w:val="22"/>
                <w:szCs w:val="22"/>
              </w:rPr>
              <w:t>Assistant Professor</w:t>
            </w:r>
          </w:p>
        </w:tc>
        <w:tc>
          <w:tcPr>
            <w:tcW w:w="3600" w:type="dxa"/>
          </w:tcPr>
          <w:p w14:paraId="3C2CBEEF" w14:textId="77777777" w:rsidR="005431D4" w:rsidRPr="00CA7C49" w:rsidRDefault="00A17C82" w:rsidP="00131388">
            <w:pPr>
              <w:pStyle w:val="Bodycopy"/>
              <w:rPr>
                <w:rFonts w:ascii="Calibri" w:hAnsi="Calibri" w:cs="Arial"/>
                <w:noProof/>
                <w:color w:val="auto"/>
                <w:sz w:val="22"/>
                <w:szCs w:val="22"/>
              </w:rPr>
            </w:pPr>
            <w:r w:rsidRPr="00CA7C49">
              <w:rPr>
                <w:rFonts w:ascii="Calibri" w:hAnsi="Calibri" w:cs="Arial"/>
                <w:noProof/>
                <w:color w:val="auto"/>
                <w:sz w:val="22"/>
                <w:szCs w:val="22"/>
              </w:rPr>
              <w:t>University of Minnesota, Twin-Cities</w:t>
            </w:r>
          </w:p>
        </w:tc>
        <w:tc>
          <w:tcPr>
            <w:tcW w:w="1885" w:type="dxa"/>
          </w:tcPr>
          <w:p w14:paraId="1BA5BD08" w14:textId="77777777" w:rsidR="005431D4" w:rsidRPr="00C42F8F" w:rsidRDefault="00CA7C49" w:rsidP="00131388">
            <w:pPr>
              <w:pStyle w:val="Bodycopy"/>
              <w:rPr>
                <w:rFonts w:ascii="Calibri" w:hAnsi="Calibri" w:cs="Arial"/>
                <w:noProof/>
                <w:color w:val="auto"/>
                <w:sz w:val="22"/>
                <w:szCs w:val="22"/>
              </w:rPr>
            </w:pPr>
            <w:r w:rsidRPr="00C42F8F">
              <w:rPr>
                <w:rFonts w:ascii="Calibri" w:hAnsi="Calibri" w:cs="Arial"/>
                <w:noProof/>
                <w:color w:val="auto"/>
                <w:sz w:val="22"/>
                <w:szCs w:val="22"/>
              </w:rPr>
              <w:t>Project Manager</w:t>
            </w:r>
          </w:p>
        </w:tc>
      </w:tr>
      <w:tr w:rsidR="00A17C82" w14:paraId="0649274C" w14:textId="77777777" w:rsidTr="00B32E91">
        <w:trPr>
          <w:trHeight w:val="251"/>
        </w:trPr>
        <w:tc>
          <w:tcPr>
            <w:tcW w:w="2534" w:type="dxa"/>
          </w:tcPr>
          <w:p w14:paraId="2DD6B70F" w14:textId="77777777" w:rsidR="00A17C82" w:rsidRPr="003F42A4" w:rsidRDefault="00A17C82" w:rsidP="00131388">
            <w:pPr>
              <w:pStyle w:val="Bodycopy"/>
              <w:rPr>
                <w:rFonts w:cs="Arial"/>
                <w:color w:val="000000" w:themeColor="text1"/>
                <w:sz w:val="22"/>
                <w:szCs w:val="22"/>
              </w:rPr>
            </w:pPr>
            <w:r>
              <w:rPr>
                <w:rFonts w:cs="Arial"/>
                <w:color w:val="000000" w:themeColor="text1"/>
                <w:sz w:val="22"/>
                <w:szCs w:val="22"/>
              </w:rPr>
              <w:t>Cristina Portales Reyes</w:t>
            </w:r>
          </w:p>
        </w:tc>
        <w:tc>
          <w:tcPr>
            <w:tcW w:w="2051" w:type="dxa"/>
          </w:tcPr>
          <w:p w14:paraId="21398AC6" w14:textId="77777777" w:rsidR="00A17C82" w:rsidRPr="00CA7C49" w:rsidRDefault="00A17C82" w:rsidP="00131388">
            <w:pPr>
              <w:pStyle w:val="Bodycopy"/>
              <w:rPr>
                <w:rFonts w:ascii="Calibri" w:hAnsi="Calibri" w:cs="Arial"/>
                <w:noProof/>
                <w:color w:val="auto"/>
                <w:sz w:val="22"/>
                <w:szCs w:val="22"/>
              </w:rPr>
            </w:pPr>
            <w:r w:rsidRPr="00CA7C49">
              <w:rPr>
                <w:rFonts w:ascii="Calibri" w:hAnsi="Calibri" w:cs="Arial"/>
                <w:noProof/>
                <w:color w:val="auto"/>
                <w:sz w:val="22"/>
                <w:szCs w:val="22"/>
              </w:rPr>
              <w:t>PhD Candidate</w:t>
            </w:r>
          </w:p>
        </w:tc>
        <w:tc>
          <w:tcPr>
            <w:tcW w:w="3600" w:type="dxa"/>
          </w:tcPr>
          <w:p w14:paraId="378D9CFB" w14:textId="77777777" w:rsidR="00A17C82" w:rsidRPr="00CA7C49" w:rsidRDefault="00A17C82" w:rsidP="00131388">
            <w:pPr>
              <w:pStyle w:val="Bodycopy"/>
              <w:rPr>
                <w:rFonts w:ascii="Calibri" w:hAnsi="Calibri" w:cs="Arial"/>
                <w:noProof/>
                <w:color w:val="auto"/>
                <w:sz w:val="22"/>
                <w:szCs w:val="22"/>
              </w:rPr>
            </w:pPr>
            <w:r w:rsidRPr="00CA7C49">
              <w:rPr>
                <w:rFonts w:ascii="Calibri" w:hAnsi="Calibri" w:cs="Arial"/>
                <w:noProof/>
                <w:color w:val="auto"/>
                <w:sz w:val="22"/>
                <w:szCs w:val="22"/>
              </w:rPr>
              <w:t>University of Minnesota, Twin-Cities</w:t>
            </w:r>
          </w:p>
        </w:tc>
        <w:tc>
          <w:tcPr>
            <w:tcW w:w="1885" w:type="dxa"/>
          </w:tcPr>
          <w:p w14:paraId="4ECC14DC" w14:textId="77777777" w:rsidR="00A17C82" w:rsidRPr="00C42F8F" w:rsidRDefault="00CA7C49" w:rsidP="00131388">
            <w:pPr>
              <w:pStyle w:val="Bodycopy"/>
              <w:rPr>
                <w:rFonts w:ascii="Calibri" w:hAnsi="Calibri" w:cs="Arial"/>
                <w:noProof/>
                <w:color w:val="auto"/>
                <w:sz w:val="22"/>
                <w:szCs w:val="22"/>
              </w:rPr>
            </w:pPr>
            <w:r w:rsidRPr="00C42F8F">
              <w:rPr>
                <w:rFonts w:ascii="Calibri" w:hAnsi="Calibri" w:cs="Arial"/>
                <w:noProof/>
                <w:color w:val="auto"/>
                <w:sz w:val="22"/>
                <w:szCs w:val="22"/>
              </w:rPr>
              <w:t>Co-Manager</w:t>
            </w:r>
          </w:p>
        </w:tc>
      </w:tr>
    </w:tbl>
    <w:p w14:paraId="3F754D40" w14:textId="4EA5532E" w:rsidR="005431D4" w:rsidRPr="00157A46" w:rsidRDefault="005431D4" w:rsidP="005431D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Partners NOT receiving ENRTF funding</w:t>
      </w:r>
      <w:r w:rsidR="005711D3">
        <w:rPr>
          <w:rFonts w:ascii="Calibri" w:hAnsi="Calibri" w:cs="Arial"/>
          <w:b/>
          <w:noProof/>
          <w:color w:val="auto"/>
          <w:sz w:val="22"/>
          <w:szCs w:val="22"/>
        </w:rPr>
        <w:t xml:space="preserve">: </w:t>
      </w:r>
    </w:p>
    <w:tbl>
      <w:tblPr>
        <w:tblStyle w:val="TableGrid"/>
        <w:tblW w:w="0" w:type="auto"/>
        <w:tblLook w:val="04A0" w:firstRow="1" w:lastRow="0" w:firstColumn="1" w:lastColumn="0" w:noHBand="0" w:noVBand="1"/>
      </w:tblPr>
      <w:tblGrid>
        <w:gridCol w:w="2534"/>
        <w:gridCol w:w="2051"/>
        <w:gridCol w:w="3600"/>
        <w:gridCol w:w="1885"/>
      </w:tblGrid>
      <w:tr w:rsidR="000355D1" w14:paraId="179033B3" w14:textId="77777777" w:rsidTr="00B32E91">
        <w:trPr>
          <w:trHeight w:val="233"/>
        </w:trPr>
        <w:tc>
          <w:tcPr>
            <w:tcW w:w="2534" w:type="dxa"/>
          </w:tcPr>
          <w:p w14:paraId="711139F3" w14:textId="77777777" w:rsidR="000355D1" w:rsidRDefault="000355D1" w:rsidP="005112CC">
            <w:pPr>
              <w:pStyle w:val="Bodycopy"/>
              <w:rPr>
                <w:rFonts w:ascii="Calibri" w:hAnsi="Calibri" w:cs="Arial"/>
                <w:b/>
                <w:noProof/>
                <w:color w:val="auto"/>
                <w:sz w:val="22"/>
                <w:szCs w:val="22"/>
              </w:rPr>
            </w:pPr>
            <w:r>
              <w:rPr>
                <w:rFonts w:ascii="Calibri" w:hAnsi="Calibri" w:cs="Arial"/>
                <w:b/>
                <w:noProof/>
                <w:color w:val="auto"/>
                <w:sz w:val="22"/>
                <w:szCs w:val="22"/>
              </w:rPr>
              <w:t>Name</w:t>
            </w:r>
          </w:p>
        </w:tc>
        <w:tc>
          <w:tcPr>
            <w:tcW w:w="2051" w:type="dxa"/>
          </w:tcPr>
          <w:p w14:paraId="3CE9076E" w14:textId="77777777" w:rsidR="000355D1" w:rsidRDefault="000355D1" w:rsidP="005112CC">
            <w:pPr>
              <w:pStyle w:val="Bodycopy"/>
              <w:rPr>
                <w:rFonts w:ascii="Calibri" w:hAnsi="Calibri" w:cs="Arial"/>
                <w:b/>
                <w:noProof/>
                <w:color w:val="auto"/>
                <w:sz w:val="22"/>
                <w:szCs w:val="22"/>
              </w:rPr>
            </w:pPr>
            <w:r>
              <w:rPr>
                <w:rFonts w:ascii="Calibri" w:hAnsi="Calibri" w:cs="Arial"/>
                <w:b/>
                <w:noProof/>
                <w:color w:val="auto"/>
                <w:sz w:val="22"/>
                <w:szCs w:val="22"/>
              </w:rPr>
              <w:t>Title</w:t>
            </w:r>
          </w:p>
        </w:tc>
        <w:tc>
          <w:tcPr>
            <w:tcW w:w="3600" w:type="dxa"/>
          </w:tcPr>
          <w:p w14:paraId="52CECD05" w14:textId="77777777" w:rsidR="000355D1" w:rsidRDefault="000355D1" w:rsidP="005112CC">
            <w:pPr>
              <w:pStyle w:val="Bodycopy"/>
              <w:rPr>
                <w:rFonts w:ascii="Calibri" w:hAnsi="Calibri" w:cs="Arial"/>
                <w:b/>
                <w:noProof/>
                <w:color w:val="auto"/>
                <w:sz w:val="22"/>
                <w:szCs w:val="22"/>
              </w:rPr>
            </w:pPr>
            <w:r>
              <w:rPr>
                <w:rFonts w:ascii="Calibri" w:hAnsi="Calibri" w:cs="Arial"/>
                <w:b/>
                <w:noProof/>
                <w:color w:val="auto"/>
                <w:sz w:val="22"/>
                <w:szCs w:val="22"/>
              </w:rPr>
              <w:t>Affiliation</w:t>
            </w:r>
          </w:p>
        </w:tc>
        <w:tc>
          <w:tcPr>
            <w:tcW w:w="1885" w:type="dxa"/>
          </w:tcPr>
          <w:p w14:paraId="629C0C49" w14:textId="77777777" w:rsidR="000355D1" w:rsidRDefault="000355D1" w:rsidP="005112CC">
            <w:pPr>
              <w:pStyle w:val="Bodycopy"/>
              <w:rPr>
                <w:rFonts w:ascii="Calibri" w:hAnsi="Calibri" w:cs="Arial"/>
                <w:b/>
                <w:noProof/>
                <w:color w:val="auto"/>
                <w:sz w:val="22"/>
                <w:szCs w:val="22"/>
              </w:rPr>
            </w:pPr>
            <w:r>
              <w:rPr>
                <w:rFonts w:ascii="Calibri" w:hAnsi="Calibri" w:cs="Arial"/>
                <w:b/>
                <w:noProof/>
                <w:color w:val="auto"/>
                <w:sz w:val="22"/>
                <w:szCs w:val="22"/>
              </w:rPr>
              <w:t>Role</w:t>
            </w:r>
          </w:p>
        </w:tc>
      </w:tr>
      <w:tr w:rsidR="000355D1" w:rsidRPr="00C42F8F" w14:paraId="27803DAA" w14:textId="77777777" w:rsidTr="005112CC">
        <w:tc>
          <w:tcPr>
            <w:tcW w:w="2534" w:type="dxa"/>
          </w:tcPr>
          <w:p w14:paraId="6A4B22B9" w14:textId="77777777" w:rsidR="000355D1" w:rsidRPr="003F42A4" w:rsidRDefault="000355D1" w:rsidP="005112CC">
            <w:pPr>
              <w:pStyle w:val="Bodycopy"/>
              <w:rPr>
                <w:rFonts w:cs="Arial"/>
                <w:color w:val="000000" w:themeColor="text1"/>
                <w:sz w:val="22"/>
                <w:szCs w:val="22"/>
              </w:rPr>
            </w:pPr>
            <w:r>
              <w:rPr>
                <w:rFonts w:cs="Arial"/>
                <w:color w:val="000000" w:themeColor="text1"/>
                <w:sz w:val="22"/>
                <w:szCs w:val="22"/>
              </w:rPr>
              <w:t>Dr. Forest Isbell</w:t>
            </w:r>
          </w:p>
        </w:tc>
        <w:tc>
          <w:tcPr>
            <w:tcW w:w="2051" w:type="dxa"/>
          </w:tcPr>
          <w:p w14:paraId="5F7FF343" w14:textId="77777777" w:rsidR="000355D1" w:rsidRPr="00CA7C49" w:rsidRDefault="000355D1" w:rsidP="005112CC">
            <w:pPr>
              <w:pStyle w:val="Bodycopy"/>
              <w:rPr>
                <w:rFonts w:ascii="Calibri" w:hAnsi="Calibri" w:cs="Arial"/>
                <w:noProof/>
                <w:color w:val="auto"/>
                <w:sz w:val="22"/>
                <w:szCs w:val="22"/>
              </w:rPr>
            </w:pPr>
            <w:r w:rsidRPr="00CA7C49">
              <w:rPr>
                <w:rFonts w:ascii="Calibri" w:hAnsi="Calibri" w:cs="Arial"/>
                <w:noProof/>
                <w:color w:val="auto"/>
                <w:sz w:val="22"/>
                <w:szCs w:val="22"/>
              </w:rPr>
              <w:t>Assistant Professor</w:t>
            </w:r>
          </w:p>
        </w:tc>
        <w:tc>
          <w:tcPr>
            <w:tcW w:w="3600" w:type="dxa"/>
          </w:tcPr>
          <w:p w14:paraId="4AA44C4C" w14:textId="77777777" w:rsidR="000355D1" w:rsidRPr="00CA7C49" w:rsidRDefault="000355D1" w:rsidP="005112CC">
            <w:pPr>
              <w:pStyle w:val="Bodycopy"/>
              <w:rPr>
                <w:rFonts w:ascii="Calibri" w:hAnsi="Calibri" w:cs="Arial"/>
                <w:noProof/>
                <w:color w:val="auto"/>
                <w:sz w:val="22"/>
                <w:szCs w:val="22"/>
              </w:rPr>
            </w:pPr>
            <w:r w:rsidRPr="00CA7C49">
              <w:rPr>
                <w:rFonts w:ascii="Calibri" w:hAnsi="Calibri" w:cs="Arial"/>
                <w:noProof/>
                <w:color w:val="auto"/>
                <w:sz w:val="22"/>
                <w:szCs w:val="22"/>
              </w:rPr>
              <w:t>University of Minnesota, Twin-Cities</w:t>
            </w:r>
          </w:p>
        </w:tc>
        <w:tc>
          <w:tcPr>
            <w:tcW w:w="1885" w:type="dxa"/>
          </w:tcPr>
          <w:p w14:paraId="1C0FDC39" w14:textId="77777777" w:rsidR="000355D1" w:rsidRPr="00C42F8F" w:rsidRDefault="000355D1" w:rsidP="005112CC">
            <w:pPr>
              <w:pStyle w:val="Bodycopy"/>
              <w:rPr>
                <w:rFonts w:ascii="Calibri" w:hAnsi="Calibri" w:cs="Arial"/>
                <w:noProof/>
                <w:color w:val="auto"/>
                <w:sz w:val="22"/>
                <w:szCs w:val="22"/>
              </w:rPr>
            </w:pPr>
            <w:r w:rsidRPr="00C42F8F">
              <w:rPr>
                <w:rFonts w:ascii="Calibri" w:hAnsi="Calibri" w:cs="Arial"/>
                <w:noProof/>
                <w:color w:val="auto"/>
                <w:sz w:val="22"/>
                <w:szCs w:val="22"/>
              </w:rPr>
              <w:t>Co-Manager</w:t>
            </w:r>
          </w:p>
        </w:tc>
      </w:tr>
    </w:tbl>
    <w:p w14:paraId="71BFBD00" w14:textId="77777777" w:rsidR="00B32E91" w:rsidRPr="00B32E91" w:rsidRDefault="00B32E91" w:rsidP="006E0EFD">
      <w:pPr>
        <w:rPr>
          <w:rFonts w:cs="Arial"/>
          <w:sz w:val="16"/>
          <w:szCs w:val="16"/>
        </w:rPr>
      </w:pPr>
    </w:p>
    <w:p w14:paraId="484E5553" w14:textId="39B0C17D" w:rsidR="00B32E91" w:rsidRDefault="00B32E91" w:rsidP="006E0EFD">
      <w:pPr>
        <w:rPr>
          <w:rFonts w:cs="Arial"/>
        </w:rPr>
      </w:pPr>
      <w:r>
        <w:rPr>
          <w:rFonts w:cs="Arial"/>
        </w:rPr>
        <w:t xml:space="preserve">Gutknecht and Reyes will oversee and participate in all project activities and ensure the success of each outcome. Isbell will oversee plot maintenance and CCESR support. </w:t>
      </w:r>
    </w:p>
    <w:p w14:paraId="4CFBB03A" w14:textId="77777777" w:rsidR="00B32E91" w:rsidRPr="00B32E91" w:rsidRDefault="00B32E91" w:rsidP="006E0EFD">
      <w:pPr>
        <w:rPr>
          <w:rFonts w:cs="Arial"/>
          <w:sz w:val="16"/>
          <w:szCs w:val="16"/>
        </w:rPr>
      </w:pPr>
    </w:p>
    <w:p w14:paraId="5ECA0961"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07D6A6CF" w14:textId="563466D5" w:rsidR="00A17C82" w:rsidRPr="00A17C82" w:rsidRDefault="00A17C82" w:rsidP="00A17C82">
      <w:pPr>
        <w:tabs>
          <w:tab w:val="left" w:pos="540"/>
        </w:tabs>
        <w:autoSpaceDE w:val="0"/>
        <w:autoSpaceDN w:val="0"/>
        <w:adjustRightInd w:val="0"/>
        <w:rPr>
          <w:rFonts w:cs="Arial"/>
          <w:bCs/>
          <w:color w:val="000000"/>
        </w:rPr>
      </w:pPr>
      <w:r w:rsidRPr="00A17C82">
        <w:rPr>
          <w:rFonts w:cs="Arial"/>
          <w:bCs/>
          <w:color w:val="000000"/>
        </w:rPr>
        <w:t>We anticipate the project</w:t>
      </w:r>
      <w:r w:rsidR="00E86123">
        <w:rPr>
          <w:rFonts w:cs="Arial"/>
          <w:bCs/>
          <w:color w:val="000000"/>
        </w:rPr>
        <w:t xml:space="preserve"> to conclude in the fall of 202</w:t>
      </w:r>
      <w:r w:rsidR="00532095">
        <w:rPr>
          <w:rFonts w:cs="Arial"/>
          <w:bCs/>
          <w:color w:val="000000"/>
        </w:rPr>
        <w:t>1</w:t>
      </w:r>
      <w:r w:rsidRPr="00A17C82">
        <w:rPr>
          <w:rFonts w:cs="Arial"/>
          <w:bCs/>
          <w:color w:val="000000"/>
        </w:rPr>
        <w:t xml:space="preserve"> and do not plan to extend it beyond this date. </w:t>
      </w:r>
      <w:r w:rsidRPr="007734B2">
        <w:rPr>
          <w:rFonts w:cs="Arial"/>
          <w:bCs/>
          <w:color w:val="000000"/>
        </w:rPr>
        <w:t>During the project period, partners will maintain the in</w:t>
      </w:r>
      <w:r w:rsidRPr="00C42F8F">
        <w:rPr>
          <w:rFonts w:cs="Arial"/>
          <w:bCs/>
          <w:color w:val="000000"/>
        </w:rPr>
        <w:t xml:space="preserve">frastructure with a minimum total investment of </w:t>
      </w:r>
      <w:r w:rsidR="007734B2" w:rsidRPr="00C42F8F">
        <w:rPr>
          <w:rFonts w:cs="Arial"/>
          <w:bCs/>
          <w:color w:val="000000"/>
        </w:rPr>
        <w:t xml:space="preserve">5% replacement or repair per year </w:t>
      </w:r>
      <w:r w:rsidRPr="00C42F8F">
        <w:rPr>
          <w:rFonts w:cs="Arial"/>
          <w:bCs/>
          <w:color w:val="000000"/>
        </w:rPr>
        <w:t>(</w:t>
      </w:r>
      <w:r w:rsidR="007734B2" w:rsidRPr="00C42F8F">
        <w:rPr>
          <w:rFonts w:cs="Arial"/>
          <w:bCs/>
          <w:color w:val="000000"/>
        </w:rPr>
        <w:t>approximately $2,500 labor and supplies</w:t>
      </w:r>
      <w:r w:rsidRPr="00C42F8F">
        <w:rPr>
          <w:rFonts w:cs="Arial"/>
          <w:bCs/>
          <w:color w:val="000000"/>
        </w:rPr>
        <w:t>).</w:t>
      </w:r>
      <w:r w:rsidR="00896B2C" w:rsidRPr="007734B2">
        <w:rPr>
          <w:rFonts w:cs="Arial"/>
          <w:bCs/>
          <w:color w:val="000000"/>
        </w:rPr>
        <w:t xml:space="preserve"> </w:t>
      </w:r>
      <w:r w:rsidR="00DD3DC2">
        <w:rPr>
          <w:rFonts w:cs="Arial"/>
          <w:bCs/>
          <w:color w:val="000000"/>
        </w:rPr>
        <w:t xml:space="preserve">Costs for rainfall shelters, maintenance, nitrogen addition treatments, and plot management will be covered by </w:t>
      </w:r>
      <w:r w:rsidR="00522546">
        <w:rPr>
          <w:rFonts w:cs="Arial"/>
          <w:bCs/>
          <w:color w:val="000000"/>
        </w:rPr>
        <w:t>co-manager Isbell</w:t>
      </w:r>
      <w:r w:rsidR="00DD3DC2">
        <w:rPr>
          <w:rFonts w:cs="Arial"/>
          <w:bCs/>
          <w:color w:val="000000"/>
        </w:rPr>
        <w:t>.</w:t>
      </w:r>
      <w:r w:rsidR="00FE4BAA">
        <w:rPr>
          <w:rFonts w:cs="Arial"/>
          <w:bCs/>
          <w:color w:val="000000"/>
        </w:rPr>
        <w:t xml:space="preserve"> Based on outputs </w:t>
      </w:r>
      <w:r w:rsidR="00FE4BAA">
        <w:rPr>
          <w:rFonts w:cs="Arial"/>
          <w:bCs/>
          <w:color w:val="000000"/>
        </w:rPr>
        <w:lastRenderedPageBreak/>
        <w:t xml:space="preserve">from this </w:t>
      </w:r>
      <w:proofErr w:type="gramStart"/>
      <w:r w:rsidR="00FE4BAA">
        <w:rPr>
          <w:rFonts w:cs="Arial"/>
          <w:bCs/>
          <w:color w:val="000000"/>
        </w:rPr>
        <w:t>two year</w:t>
      </w:r>
      <w:proofErr w:type="gramEnd"/>
      <w:r w:rsidR="00FE4BAA">
        <w:rPr>
          <w:rFonts w:cs="Arial"/>
          <w:bCs/>
          <w:color w:val="000000"/>
        </w:rPr>
        <w:t xml:space="preserve"> project, we will also be able to seek external funding for understanding longer term patterns of nitrate removal from sandy soils. For example, co</w:t>
      </w:r>
      <w:r w:rsidR="00522546">
        <w:rPr>
          <w:rFonts w:cs="Arial"/>
          <w:bCs/>
          <w:color w:val="000000"/>
        </w:rPr>
        <w:t>-</w:t>
      </w:r>
      <w:r w:rsidR="00FE4BAA">
        <w:rPr>
          <w:rFonts w:cs="Arial"/>
          <w:bCs/>
          <w:color w:val="000000"/>
        </w:rPr>
        <w:t xml:space="preserve">manager Isbell has applied for </w:t>
      </w:r>
      <w:r w:rsidR="009E5BB5">
        <w:rPr>
          <w:rFonts w:cs="Arial"/>
          <w:bCs/>
          <w:color w:val="000000"/>
        </w:rPr>
        <w:t xml:space="preserve">National Science Foundation </w:t>
      </w:r>
      <w:r w:rsidR="00FE4BAA">
        <w:rPr>
          <w:rFonts w:cs="Arial"/>
          <w:bCs/>
          <w:color w:val="000000"/>
        </w:rPr>
        <w:t>funds to continue providing infrastructure costs into the future of this project</w:t>
      </w:r>
      <w:r w:rsidR="0036373B">
        <w:rPr>
          <w:rFonts w:cs="Arial"/>
          <w:bCs/>
          <w:color w:val="000000"/>
        </w:rPr>
        <w:t xml:space="preserve">. </w:t>
      </w:r>
    </w:p>
    <w:p w14:paraId="7118D08B" w14:textId="77777777" w:rsidR="00A17C82" w:rsidRPr="00A17C82" w:rsidRDefault="00A17C82" w:rsidP="00A17C82">
      <w:pPr>
        <w:tabs>
          <w:tab w:val="left" w:pos="540"/>
        </w:tabs>
        <w:autoSpaceDE w:val="0"/>
        <w:autoSpaceDN w:val="0"/>
        <w:adjustRightInd w:val="0"/>
        <w:rPr>
          <w:rFonts w:cs="Arial"/>
          <w:bCs/>
          <w:color w:val="000000"/>
        </w:rPr>
      </w:pPr>
    </w:p>
    <w:p w14:paraId="600545D4" w14:textId="77777777" w:rsidR="005431D4"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6BC92E8C" w14:textId="2C84356F" w:rsidR="0032018E" w:rsidRPr="00B40931" w:rsidRDefault="000355D1" w:rsidP="00B40931">
      <w:pPr>
        <w:tabs>
          <w:tab w:val="left" w:pos="540"/>
        </w:tabs>
        <w:autoSpaceDE w:val="0"/>
        <w:autoSpaceDN w:val="0"/>
        <w:adjustRightInd w:val="0"/>
        <w:rPr>
          <w:rFonts w:cs="Arial"/>
          <w:b/>
        </w:rPr>
      </w:pPr>
      <w:r>
        <w:rPr>
          <w:rFonts w:cs="Arial"/>
          <w:bCs/>
          <w:color w:val="000000"/>
        </w:rPr>
        <w:t>We propose a start date of July 1, 20</w:t>
      </w:r>
      <w:r w:rsidR="00532095">
        <w:rPr>
          <w:rFonts w:cs="Arial"/>
          <w:bCs/>
          <w:color w:val="000000"/>
        </w:rPr>
        <w:t>20</w:t>
      </w:r>
      <w:r>
        <w:rPr>
          <w:rFonts w:cs="Arial"/>
          <w:bCs/>
          <w:color w:val="000000"/>
        </w:rPr>
        <w:t>. We will sample field plots in summer of 2019 and 2020, and request funding for two full years of personnel, July 1 20</w:t>
      </w:r>
      <w:r w:rsidR="00532095">
        <w:rPr>
          <w:rFonts w:cs="Arial"/>
          <w:bCs/>
          <w:color w:val="000000"/>
        </w:rPr>
        <w:t>20</w:t>
      </w:r>
      <w:r>
        <w:rPr>
          <w:rFonts w:cs="Arial"/>
          <w:bCs/>
          <w:color w:val="000000"/>
        </w:rPr>
        <w:t>- June 30 202</w:t>
      </w:r>
      <w:r w:rsidR="00532095">
        <w:rPr>
          <w:rFonts w:cs="Arial"/>
          <w:bCs/>
          <w:color w:val="000000"/>
        </w:rPr>
        <w:t>2</w:t>
      </w:r>
      <w:r>
        <w:rPr>
          <w:rFonts w:cs="Arial"/>
          <w:bCs/>
          <w:color w:val="000000"/>
        </w:rPr>
        <w:t>, to allow for sample processing, data analysis, and reporting.</w:t>
      </w:r>
      <w:r w:rsidR="004E1AE6" w:rsidRPr="00D35113" w:rsidDel="004E1AE6">
        <w:rPr>
          <w:rFonts w:cs="Arial"/>
          <w:bCs/>
          <w:color w:val="000000"/>
        </w:rPr>
        <w:t xml:space="preserve"> </w:t>
      </w:r>
      <w:r w:rsidR="00974600">
        <w:rPr>
          <w:rFonts w:cs="Arial"/>
          <w:bCs/>
          <w:color w:val="000000"/>
        </w:rPr>
        <w:t>We expect that all reports will be delivered by June 30, 2022</w:t>
      </w:r>
      <w:r w:rsidR="00C274A9">
        <w:rPr>
          <w:rFonts w:cs="Arial"/>
          <w:bCs/>
          <w:color w:val="000000"/>
        </w:rPr>
        <w:t>. W</w:t>
      </w:r>
      <w:r w:rsidR="00974600">
        <w:rPr>
          <w:rFonts w:cs="Arial"/>
          <w:bCs/>
          <w:color w:val="000000"/>
        </w:rPr>
        <w:t xml:space="preserve">e are dedicated to additional ongoing dialogue to make our results as useful as possible to any interested party. </w:t>
      </w:r>
    </w:p>
    <w:sectPr w:rsidR="0032018E" w:rsidRPr="00B40931"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EB66" w14:textId="77777777" w:rsidR="0007504D" w:rsidRDefault="0007504D" w:rsidP="00533120">
      <w:r>
        <w:separator/>
      </w:r>
    </w:p>
  </w:endnote>
  <w:endnote w:type="continuationSeparator" w:id="0">
    <w:p w14:paraId="6029BF9A" w14:textId="77777777" w:rsidR="0007504D" w:rsidRDefault="0007504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2F00" w14:textId="77777777" w:rsidR="00416D1D" w:rsidRDefault="00416D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469A" w14:textId="0EC9B01C" w:rsidR="00B32E91" w:rsidRDefault="00B32E91">
    <w:pPr>
      <w:pStyle w:val="Footer"/>
      <w:jc w:val="center"/>
    </w:pPr>
    <w:r>
      <w:fldChar w:fldCharType="begin"/>
    </w:r>
    <w:r>
      <w:instrText xml:space="preserve"> PAGE   \* MERGEFORMAT </w:instrText>
    </w:r>
    <w:r>
      <w:fldChar w:fldCharType="separate"/>
    </w:r>
    <w:r w:rsidR="00416D1D">
      <w:rPr>
        <w:noProof/>
      </w:rPr>
      <w:t>1</w:t>
    </w:r>
    <w:r>
      <w:fldChar w:fldCharType="end"/>
    </w:r>
  </w:p>
  <w:p w14:paraId="4D197256" w14:textId="77777777" w:rsidR="00B32E91" w:rsidRDefault="00B32E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E8EC" w14:textId="77777777" w:rsidR="00B32E91" w:rsidRDefault="00B32E91" w:rsidP="00C72BD9">
    <w:pPr>
      <w:pStyle w:val="Footer"/>
      <w:jc w:val="center"/>
    </w:pPr>
    <w:r>
      <w:fldChar w:fldCharType="begin"/>
    </w:r>
    <w:r>
      <w:instrText xml:space="preserve"> PAGE   \* MERGEFORMAT </w:instrText>
    </w:r>
    <w:r>
      <w:fldChar w:fldCharType="separate"/>
    </w:r>
    <w:r>
      <w:rPr>
        <w:noProof/>
      </w:rPr>
      <w:t>1</w:t>
    </w:r>
    <w:r>
      <w:fldChar w:fldCharType="end"/>
    </w:r>
  </w:p>
  <w:p w14:paraId="53E16220" w14:textId="77777777" w:rsidR="00B32E91" w:rsidRDefault="00B32E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52768" w14:textId="77777777" w:rsidR="0007504D" w:rsidRDefault="0007504D" w:rsidP="00533120">
      <w:r>
        <w:separator/>
      </w:r>
    </w:p>
  </w:footnote>
  <w:footnote w:type="continuationSeparator" w:id="0">
    <w:p w14:paraId="7E617873" w14:textId="77777777" w:rsidR="0007504D" w:rsidRDefault="0007504D"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B07D" w14:textId="77777777" w:rsidR="00416D1D" w:rsidRDefault="00416D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B32E91" w14:paraId="0003D793" w14:textId="77777777" w:rsidTr="00E47145">
      <w:tc>
        <w:tcPr>
          <w:tcW w:w="1278" w:type="dxa"/>
        </w:tcPr>
        <w:p w14:paraId="736C5345" w14:textId="77777777" w:rsidR="00B32E91" w:rsidRPr="00EB5831" w:rsidRDefault="00B32E91" w:rsidP="00E47145">
          <w:pPr>
            <w:pStyle w:val="Header"/>
            <w:tabs>
              <w:tab w:val="clear" w:pos="4680"/>
              <w:tab w:val="clear" w:pos="9360"/>
            </w:tabs>
            <w:rPr>
              <w:lang w:val="en-US" w:eastAsia="en-US"/>
            </w:rPr>
          </w:pPr>
          <w:r>
            <w:rPr>
              <w:noProof/>
              <w:lang w:val="en-US" w:eastAsia="en-US"/>
            </w:rPr>
            <w:drawing>
              <wp:inline distT="0" distB="0" distL="0" distR="0" wp14:anchorId="1F4171C9" wp14:editId="2CB6FAC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DC36D7D" w14:textId="77777777" w:rsidR="00B32E91" w:rsidRPr="00A42E60" w:rsidRDefault="00B32E91" w:rsidP="00EB5831">
          <w:pPr>
            <w:rPr>
              <w:b/>
            </w:rPr>
          </w:pPr>
          <w:r w:rsidRPr="00A42E60">
            <w:rPr>
              <w:b/>
            </w:rPr>
            <w:t>Environment and Natural Resources Trust Fund (ENRTF)</w:t>
          </w:r>
        </w:p>
        <w:p w14:paraId="6D4C0BC8" w14:textId="5CED4EBA" w:rsidR="00B32E91" w:rsidRPr="00EB5831" w:rsidRDefault="00B32E91" w:rsidP="00EB5831">
          <w:pPr>
            <w:pStyle w:val="Header"/>
            <w:rPr>
              <w:b/>
              <w:lang w:val="en-US" w:eastAsia="en-US"/>
            </w:rPr>
          </w:pPr>
          <w:r>
            <w:rPr>
              <w:b/>
              <w:lang w:val="en-US" w:eastAsia="en-US"/>
            </w:rPr>
            <w:t>20</w:t>
          </w:r>
          <w:r w:rsidR="00416D1D">
            <w:rPr>
              <w:b/>
              <w:lang w:val="en-US" w:eastAsia="en-US"/>
            </w:rPr>
            <w:t>20</w:t>
          </w:r>
          <w:bookmarkStart w:id="0" w:name="_GoBack"/>
          <w:bookmarkEnd w:id="0"/>
          <w:r w:rsidRPr="00EB5831">
            <w:rPr>
              <w:b/>
              <w:lang w:val="en-US" w:eastAsia="en-US"/>
            </w:rPr>
            <w:t xml:space="preserve"> Main Proposal</w:t>
          </w:r>
          <w:r>
            <w:rPr>
              <w:b/>
              <w:lang w:val="en-US" w:eastAsia="en-US"/>
            </w:rPr>
            <w:t xml:space="preserve"> Template</w:t>
          </w:r>
        </w:p>
        <w:p w14:paraId="196CDA6A" w14:textId="77777777" w:rsidR="00B32E91" w:rsidRPr="00EB5831" w:rsidRDefault="00B32E91" w:rsidP="00EB5831">
          <w:pPr>
            <w:pStyle w:val="Header"/>
            <w:rPr>
              <w:lang w:val="en-US" w:eastAsia="en-US"/>
            </w:rPr>
          </w:pPr>
        </w:p>
      </w:tc>
    </w:tr>
  </w:tbl>
  <w:p w14:paraId="2E71C552" w14:textId="77777777" w:rsidR="00B32E91" w:rsidRPr="00A42E60" w:rsidRDefault="00B32E91"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B32E91" w14:paraId="60B33D5D" w14:textId="77777777" w:rsidTr="00C660F0">
      <w:tc>
        <w:tcPr>
          <w:tcW w:w="1098" w:type="dxa"/>
        </w:tcPr>
        <w:p w14:paraId="284283C8" w14:textId="77777777" w:rsidR="00B32E91" w:rsidRPr="00EB5831" w:rsidRDefault="00B32E91" w:rsidP="00C660F0">
          <w:pPr>
            <w:pStyle w:val="Header"/>
            <w:rPr>
              <w:lang w:val="en-US" w:eastAsia="en-US"/>
            </w:rPr>
          </w:pPr>
          <w:r>
            <w:rPr>
              <w:noProof/>
              <w:lang w:val="en-US" w:eastAsia="en-US"/>
            </w:rPr>
            <w:drawing>
              <wp:inline distT="0" distB="0" distL="0" distR="0" wp14:anchorId="02BF2DBD" wp14:editId="7B4A5AC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AC65B90" w14:textId="77777777" w:rsidR="00B32E91" w:rsidRPr="00A42E60" w:rsidRDefault="00B32E91" w:rsidP="00C660F0">
          <w:pPr>
            <w:rPr>
              <w:b/>
            </w:rPr>
          </w:pPr>
          <w:r w:rsidRPr="00A42E60">
            <w:rPr>
              <w:b/>
            </w:rPr>
            <w:t>Environment and Natural Resources Trust Fund (ENRTF)</w:t>
          </w:r>
        </w:p>
        <w:p w14:paraId="46B356DD" w14:textId="77777777" w:rsidR="00B32E91" w:rsidRPr="00EB5831" w:rsidRDefault="00B32E91" w:rsidP="00806460">
          <w:pPr>
            <w:pStyle w:val="Header"/>
            <w:rPr>
              <w:b/>
              <w:lang w:val="en-US" w:eastAsia="en-US"/>
            </w:rPr>
          </w:pPr>
          <w:r w:rsidRPr="00EB5831">
            <w:rPr>
              <w:b/>
              <w:lang w:val="en-US" w:eastAsia="en-US"/>
            </w:rPr>
            <w:t>2014 Main Proposal</w:t>
          </w:r>
        </w:p>
        <w:p w14:paraId="691834EC" w14:textId="77777777" w:rsidR="00B32E91" w:rsidRPr="00EB5831" w:rsidRDefault="00B32E91"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7460DBF" w14:textId="77777777" w:rsidR="00B32E91" w:rsidRPr="00F96203" w:rsidRDefault="00B32E91">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163C9"/>
    <w:multiLevelType w:val="multilevel"/>
    <w:tmpl w:val="DB2CD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EF506C6"/>
    <w:multiLevelType w:val="multilevel"/>
    <w:tmpl w:val="EF6A7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1"/>
  </w:num>
  <w:num w:numId="6">
    <w:abstractNumId w:val="2"/>
  </w:num>
  <w:num w:numId="7">
    <w:abstractNumId w:val="7"/>
  </w:num>
  <w:num w:numId="8">
    <w:abstractNumId w:val="4"/>
  </w:num>
  <w:num w:numId="9">
    <w:abstractNumId w:val="10"/>
  </w:num>
  <w:num w:numId="10">
    <w:abstractNumId w:val="9"/>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2E4A"/>
    <w:rsid w:val="000343F1"/>
    <w:rsid w:val="000355D1"/>
    <w:rsid w:val="00041F07"/>
    <w:rsid w:val="00043BE9"/>
    <w:rsid w:val="00061EF5"/>
    <w:rsid w:val="00062497"/>
    <w:rsid w:val="00065366"/>
    <w:rsid w:val="00071C3E"/>
    <w:rsid w:val="00072F9A"/>
    <w:rsid w:val="00075020"/>
    <w:rsid w:val="0007504D"/>
    <w:rsid w:val="000A6236"/>
    <w:rsid w:val="000B0A07"/>
    <w:rsid w:val="000B34BA"/>
    <w:rsid w:val="000C3EF3"/>
    <w:rsid w:val="000D29C2"/>
    <w:rsid w:val="000D7F31"/>
    <w:rsid w:val="000E7A15"/>
    <w:rsid w:val="00100A34"/>
    <w:rsid w:val="00107495"/>
    <w:rsid w:val="00131388"/>
    <w:rsid w:val="00143492"/>
    <w:rsid w:val="00145A5F"/>
    <w:rsid w:val="00165716"/>
    <w:rsid w:val="0018005E"/>
    <w:rsid w:val="0019073D"/>
    <w:rsid w:val="001A65D8"/>
    <w:rsid w:val="001B0368"/>
    <w:rsid w:val="001C2A7D"/>
    <w:rsid w:val="001C62DE"/>
    <w:rsid w:val="001E317B"/>
    <w:rsid w:val="001E42AC"/>
    <w:rsid w:val="001F0A7B"/>
    <w:rsid w:val="002159DD"/>
    <w:rsid w:val="00217C2A"/>
    <w:rsid w:val="00270723"/>
    <w:rsid w:val="0028145E"/>
    <w:rsid w:val="00290E4E"/>
    <w:rsid w:val="002A4E95"/>
    <w:rsid w:val="002B3B73"/>
    <w:rsid w:val="002B469A"/>
    <w:rsid w:val="002B593B"/>
    <w:rsid w:val="002C4C49"/>
    <w:rsid w:val="002F296E"/>
    <w:rsid w:val="0032018E"/>
    <w:rsid w:val="003205A7"/>
    <w:rsid w:val="003235DA"/>
    <w:rsid w:val="003239FE"/>
    <w:rsid w:val="00347E7A"/>
    <w:rsid w:val="003502D0"/>
    <w:rsid w:val="00351EA6"/>
    <w:rsid w:val="00354888"/>
    <w:rsid w:val="003578A0"/>
    <w:rsid w:val="0036373B"/>
    <w:rsid w:val="0037310D"/>
    <w:rsid w:val="003734C8"/>
    <w:rsid w:val="0039481E"/>
    <w:rsid w:val="003953F5"/>
    <w:rsid w:val="0039586F"/>
    <w:rsid w:val="003A67E6"/>
    <w:rsid w:val="003B27CE"/>
    <w:rsid w:val="003C5D60"/>
    <w:rsid w:val="003D4C2A"/>
    <w:rsid w:val="003F16F5"/>
    <w:rsid w:val="003F32CA"/>
    <w:rsid w:val="003F3D82"/>
    <w:rsid w:val="004040A9"/>
    <w:rsid w:val="00416A62"/>
    <w:rsid w:val="00416D1D"/>
    <w:rsid w:val="00430845"/>
    <w:rsid w:val="00432DC0"/>
    <w:rsid w:val="00433D2D"/>
    <w:rsid w:val="004357AE"/>
    <w:rsid w:val="00437121"/>
    <w:rsid w:val="004530F7"/>
    <w:rsid w:val="00454495"/>
    <w:rsid w:val="004810DC"/>
    <w:rsid w:val="00487D08"/>
    <w:rsid w:val="0049103C"/>
    <w:rsid w:val="004A43B9"/>
    <w:rsid w:val="004A4BE4"/>
    <w:rsid w:val="004B256F"/>
    <w:rsid w:val="004B2C5D"/>
    <w:rsid w:val="004C15E8"/>
    <w:rsid w:val="004C3429"/>
    <w:rsid w:val="004D2215"/>
    <w:rsid w:val="004D631D"/>
    <w:rsid w:val="004E1AE6"/>
    <w:rsid w:val="004E6113"/>
    <w:rsid w:val="004F0EB4"/>
    <w:rsid w:val="005112CC"/>
    <w:rsid w:val="00522546"/>
    <w:rsid w:val="00532095"/>
    <w:rsid w:val="00532096"/>
    <w:rsid w:val="00533120"/>
    <w:rsid w:val="005431D4"/>
    <w:rsid w:val="00544604"/>
    <w:rsid w:val="00550B29"/>
    <w:rsid w:val="00561750"/>
    <w:rsid w:val="005648A9"/>
    <w:rsid w:val="005711D3"/>
    <w:rsid w:val="00575A21"/>
    <w:rsid w:val="005773B0"/>
    <w:rsid w:val="00590CF8"/>
    <w:rsid w:val="00591A87"/>
    <w:rsid w:val="005A1D00"/>
    <w:rsid w:val="005A4FB1"/>
    <w:rsid w:val="005C6BEB"/>
    <w:rsid w:val="005D3CB2"/>
    <w:rsid w:val="005E0006"/>
    <w:rsid w:val="005E6A5E"/>
    <w:rsid w:val="005F0DBA"/>
    <w:rsid w:val="005F1006"/>
    <w:rsid w:val="005F7237"/>
    <w:rsid w:val="005F7908"/>
    <w:rsid w:val="00602068"/>
    <w:rsid w:val="00604A1A"/>
    <w:rsid w:val="00614DF2"/>
    <w:rsid w:val="00617CC3"/>
    <w:rsid w:val="00640A9A"/>
    <w:rsid w:val="00645FC6"/>
    <w:rsid w:val="00647F95"/>
    <w:rsid w:val="006562F0"/>
    <w:rsid w:val="00667CCA"/>
    <w:rsid w:val="006814FC"/>
    <w:rsid w:val="00686B53"/>
    <w:rsid w:val="006E0EFD"/>
    <w:rsid w:val="006E468E"/>
    <w:rsid w:val="006E5036"/>
    <w:rsid w:val="006F4D19"/>
    <w:rsid w:val="006F7F24"/>
    <w:rsid w:val="00712204"/>
    <w:rsid w:val="00721661"/>
    <w:rsid w:val="007303DE"/>
    <w:rsid w:val="00731A65"/>
    <w:rsid w:val="007679E1"/>
    <w:rsid w:val="007734B2"/>
    <w:rsid w:val="00786F80"/>
    <w:rsid w:val="007A327C"/>
    <w:rsid w:val="007B1F88"/>
    <w:rsid w:val="007B284F"/>
    <w:rsid w:val="007B3535"/>
    <w:rsid w:val="007B7E63"/>
    <w:rsid w:val="007F2DF4"/>
    <w:rsid w:val="00806460"/>
    <w:rsid w:val="008076FB"/>
    <w:rsid w:val="00825539"/>
    <w:rsid w:val="0082695B"/>
    <w:rsid w:val="0089447D"/>
    <w:rsid w:val="008949EE"/>
    <w:rsid w:val="00896B2C"/>
    <w:rsid w:val="008A088E"/>
    <w:rsid w:val="008A30F5"/>
    <w:rsid w:val="008A4498"/>
    <w:rsid w:val="008C2C23"/>
    <w:rsid w:val="008D2242"/>
    <w:rsid w:val="008E66C5"/>
    <w:rsid w:val="00910DB8"/>
    <w:rsid w:val="00912C65"/>
    <w:rsid w:val="009159BD"/>
    <w:rsid w:val="00916F21"/>
    <w:rsid w:val="00931790"/>
    <w:rsid w:val="00951FBB"/>
    <w:rsid w:val="009541C4"/>
    <w:rsid w:val="00974600"/>
    <w:rsid w:val="009A49DE"/>
    <w:rsid w:val="009B6749"/>
    <w:rsid w:val="009C4875"/>
    <w:rsid w:val="009D0E57"/>
    <w:rsid w:val="009D14B4"/>
    <w:rsid w:val="009D6489"/>
    <w:rsid w:val="009D6EC8"/>
    <w:rsid w:val="009E5BB5"/>
    <w:rsid w:val="00A02A4D"/>
    <w:rsid w:val="00A03E0A"/>
    <w:rsid w:val="00A10897"/>
    <w:rsid w:val="00A13F26"/>
    <w:rsid w:val="00A17C82"/>
    <w:rsid w:val="00A21EBA"/>
    <w:rsid w:val="00A42E60"/>
    <w:rsid w:val="00A45A41"/>
    <w:rsid w:val="00A7257F"/>
    <w:rsid w:val="00A72CF6"/>
    <w:rsid w:val="00A73B75"/>
    <w:rsid w:val="00A84611"/>
    <w:rsid w:val="00A915BD"/>
    <w:rsid w:val="00AC2C07"/>
    <w:rsid w:val="00AC2CDE"/>
    <w:rsid w:val="00AD3337"/>
    <w:rsid w:val="00AF0629"/>
    <w:rsid w:val="00AF069E"/>
    <w:rsid w:val="00B26146"/>
    <w:rsid w:val="00B32E91"/>
    <w:rsid w:val="00B35391"/>
    <w:rsid w:val="00B40931"/>
    <w:rsid w:val="00B46055"/>
    <w:rsid w:val="00B57454"/>
    <w:rsid w:val="00B574E3"/>
    <w:rsid w:val="00B674AE"/>
    <w:rsid w:val="00B728BF"/>
    <w:rsid w:val="00B8369A"/>
    <w:rsid w:val="00B86A22"/>
    <w:rsid w:val="00B94BF0"/>
    <w:rsid w:val="00BB7230"/>
    <w:rsid w:val="00BB7F68"/>
    <w:rsid w:val="00BC28A6"/>
    <w:rsid w:val="00BD0500"/>
    <w:rsid w:val="00BD6FFE"/>
    <w:rsid w:val="00C02DAD"/>
    <w:rsid w:val="00C031EF"/>
    <w:rsid w:val="00C274A9"/>
    <w:rsid w:val="00C323DF"/>
    <w:rsid w:val="00C348AC"/>
    <w:rsid w:val="00C41A17"/>
    <w:rsid w:val="00C42F8F"/>
    <w:rsid w:val="00C433EF"/>
    <w:rsid w:val="00C660F0"/>
    <w:rsid w:val="00C670E5"/>
    <w:rsid w:val="00C72BD9"/>
    <w:rsid w:val="00C82CD3"/>
    <w:rsid w:val="00C85E92"/>
    <w:rsid w:val="00C86033"/>
    <w:rsid w:val="00C952E4"/>
    <w:rsid w:val="00CA2D81"/>
    <w:rsid w:val="00CA7C49"/>
    <w:rsid w:val="00CB652D"/>
    <w:rsid w:val="00CE11DB"/>
    <w:rsid w:val="00CE20AC"/>
    <w:rsid w:val="00CF171A"/>
    <w:rsid w:val="00D02E23"/>
    <w:rsid w:val="00D121DD"/>
    <w:rsid w:val="00D1351A"/>
    <w:rsid w:val="00D25619"/>
    <w:rsid w:val="00D32CFB"/>
    <w:rsid w:val="00D35113"/>
    <w:rsid w:val="00D36C0D"/>
    <w:rsid w:val="00D43335"/>
    <w:rsid w:val="00D46749"/>
    <w:rsid w:val="00D60CB5"/>
    <w:rsid w:val="00D70ACE"/>
    <w:rsid w:val="00D9081F"/>
    <w:rsid w:val="00D91C31"/>
    <w:rsid w:val="00DA2D3C"/>
    <w:rsid w:val="00DB21A5"/>
    <w:rsid w:val="00DC6CD2"/>
    <w:rsid w:val="00DD38CC"/>
    <w:rsid w:val="00DD39AB"/>
    <w:rsid w:val="00DD3DC2"/>
    <w:rsid w:val="00DE5554"/>
    <w:rsid w:val="00DF1BEB"/>
    <w:rsid w:val="00E005C1"/>
    <w:rsid w:val="00E12C6D"/>
    <w:rsid w:val="00E16019"/>
    <w:rsid w:val="00E47145"/>
    <w:rsid w:val="00E5279E"/>
    <w:rsid w:val="00E5326E"/>
    <w:rsid w:val="00E550F4"/>
    <w:rsid w:val="00E619C4"/>
    <w:rsid w:val="00E62A61"/>
    <w:rsid w:val="00E66419"/>
    <w:rsid w:val="00E76D57"/>
    <w:rsid w:val="00E86123"/>
    <w:rsid w:val="00E949C7"/>
    <w:rsid w:val="00EA3F37"/>
    <w:rsid w:val="00EB5831"/>
    <w:rsid w:val="00EB7A1B"/>
    <w:rsid w:val="00EC42AA"/>
    <w:rsid w:val="00ED645E"/>
    <w:rsid w:val="00EF6A4F"/>
    <w:rsid w:val="00F010A1"/>
    <w:rsid w:val="00F1010F"/>
    <w:rsid w:val="00F26271"/>
    <w:rsid w:val="00F31A19"/>
    <w:rsid w:val="00F42507"/>
    <w:rsid w:val="00F6377C"/>
    <w:rsid w:val="00F70DE4"/>
    <w:rsid w:val="00F9232B"/>
    <w:rsid w:val="00F92864"/>
    <w:rsid w:val="00F948A7"/>
    <w:rsid w:val="00F94C83"/>
    <w:rsid w:val="00F96203"/>
    <w:rsid w:val="00F97C94"/>
    <w:rsid w:val="00FA2D9B"/>
    <w:rsid w:val="00FC2467"/>
    <w:rsid w:val="00FC2B32"/>
    <w:rsid w:val="00FD1F24"/>
    <w:rsid w:val="00FE059E"/>
    <w:rsid w:val="00FE4BAA"/>
    <w:rsid w:val="00FE5F6C"/>
    <w:rsid w:val="00FF1689"/>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9F2FC6"/>
  <w15:docId w15:val="{ED0E2302-6025-4943-8E53-68DC511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paragraph" w:styleId="Heading2">
    <w:name w:val="heading 2"/>
    <w:basedOn w:val="Normal"/>
    <w:link w:val="Heading2Char"/>
    <w:uiPriority w:val="9"/>
    <w:qFormat/>
    <w:rsid w:val="00C348AC"/>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143492"/>
    <w:rPr>
      <w:sz w:val="18"/>
      <w:szCs w:val="18"/>
    </w:rPr>
  </w:style>
  <w:style w:type="paragraph" w:styleId="CommentText">
    <w:name w:val="annotation text"/>
    <w:basedOn w:val="Normal"/>
    <w:link w:val="CommentTextChar"/>
    <w:uiPriority w:val="99"/>
    <w:unhideWhenUsed/>
    <w:rsid w:val="00143492"/>
    <w:rPr>
      <w:sz w:val="24"/>
      <w:szCs w:val="24"/>
    </w:rPr>
  </w:style>
  <w:style w:type="character" w:customStyle="1" w:styleId="CommentTextChar">
    <w:name w:val="Comment Text Char"/>
    <w:basedOn w:val="DefaultParagraphFont"/>
    <w:link w:val="CommentText"/>
    <w:uiPriority w:val="99"/>
    <w:rsid w:val="00143492"/>
    <w:rPr>
      <w:sz w:val="24"/>
      <w:szCs w:val="24"/>
    </w:rPr>
  </w:style>
  <w:style w:type="paragraph" w:styleId="CommentSubject">
    <w:name w:val="annotation subject"/>
    <w:basedOn w:val="CommentText"/>
    <w:next w:val="CommentText"/>
    <w:link w:val="CommentSubjectChar"/>
    <w:uiPriority w:val="99"/>
    <w:semiHidden/>
    <w:unhideWhenUsed/>
    <w:rsid w:val="00143492"/>
    <w:rPr>
      <w:b/>
      <w:bCs/>
      <w:sz w:val="20"/>
      <w:szCs w:val="20"/>
    </w:rPr>
  </w:style>
  <w:style w:type="character" w:customStyle="1" w:styleId="CommentSubjectChar">
    <w:name w:val="Comment Subject Char"/>
    <w:basedOn w:val="CommentTextChar"/>
    <w:link w:val="CommentSubject"/>
    <w:uiPriority w:val="99"/>
    <w:semiHidden/>
    <w:rsid w:val="00143492"/>
    <w:rPr>
      <w:b/>
      <w:bCs/>
      <w:sz w:val="24"/>
      <w:szCs w:val="24"/>
    </w:rPr>
  </w:style>
  <w:style w:type="paragraph" w:styleId="NormalWeb">
    <w:name w:val="Normal (Web)"/>
    <w:basedOn w:val="Normal"/>
    <w:uiPriority w:val="99"/>
    <w:semiHidden/>
    <w:unhideWhenUsed/>
    <w:rsid w:val="0032018E"/>
    <w:pPr>
      <w:spacing w:before="100" w:beforeAutospacing="1" w:after="100" w:afterAutospacing="1"/>
    </w:pPr>
    <w:rPr>
      <w:rFonts w:ascii="Times New Roman" w:hAnsi="Times New Roman"/>
      <w:sz w:val="20"/>
      <w:szCs w:val="20"/>
    </w:rPr>
  </w:style>
  <w:style w:type="paragraph" w:styleId="Revision">
    <w:name w:val="Revision"/>
    <w:hidden/>
    <w:uiPriority w:val="99"/>
    <w:semiHidden/>
    <w:rsid w:val="00FE4BAA"/>
    <w:rPr>
      <w:sz w:val="22"/>
      <w:szCs w:val="22"/>
    </w:rPr>
  </w:style>
  <w:style w:type="paragraph" w:styleId="NoSpacing">
    <w:name w:val="No Spacing"/>
    <w:uiPriority w:val="1"/>
    <w:qFormat/>
    <w:rsid w:val="00A72CF6"/>
    <w:rPr>
      <w:sz w:val="22"/>
      <w:szCs w:val="22"/>
    </w:rPr>
  </w:style>
  <w:style w:type="paragraph" w:customStyle="1" w:styleId="Normal1">
    <w:name w:val="Normal1"/>
    <w:rsid w:val="00BB7F68"/>
    <w:pPr>
      <w:pBdr>
        <w:top w:val="nil"/>
        <w:left w:val="nil"/>
        <w:bottom w:val="nil"/>
        <w:right w:val="nil"/>
        <w:between w:val="nil"/>
      </w:pBdr>
      <w:spacing w:after="200" w:line="276" w:lineRule="auto"/>
    </w:pPr>
    <w:rPr>
      <w:rFonts w:cs="Calibri"/>
      <w:color w:val="000000"/>
      <w:sz w:val="22"/>
      <w:szCs w:val="22"/>
    </w:rPr>
  </w:style>
  <w:style w:type="character" w:customStyle="1" w:styleId="Heading2Char">
    <w:name w:val="Heading 2 Char"/>
    <w:basedOn w:val="DefaultParagraphFont"/>
    <w:link w:val="Heading2"/>
    <w:uiPriority w:val="9"/>
    <w:rsid w:val="00C348AC"/>
    <w:rPr>
      <w:rFonts w:ascii="Times New Roman" w:eastAsia="Times New Roman" w:hAnsi="Times New Roman"/>
      <w:b/>
      <w:bCs/>
      <w:sz w:val="36"/>
      <w:szCs w:val="36"/>
    </w:rPr>
  </w:style>
  <w:style w:type="character" w:customStyle="1" w:styleId="il">
    <w:name w:val="il"/>
    <w:basedOn w:val="DefaultParagraphFont"/>
    <w:rsid w:val="00C3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63554770">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3667657">
      <w:bodyDiv w:val="1"/>
      <w:marLeft w:val="0"/>
      <w:marRight w:val="0"/>
      <w:marTop w:val="0"/>
      <w:marBottom w:val="0"/>
      <w:divBdr>
        <w:top w:val="none" w:sz="0" w:space="0" w:color="auto"/>
        <w:left w:val="none" w:sz="0" w:space="0" w:color="auto"/>
        <w:bottom w:val="none" w:sz="0" w:space="0" w:color="auto"/>
        <w:right w:val="none" w:sz="0" w:space="0" w:color="auto"/>
      </w:divBdr>
      <w:divsChild>
        <w:div w:id="112752191">
          <w:marLeft w:val="0"/>
          <w:marRight w:val="120"/>
          <w:marTop w:val="0"/>
          <w:marBottom w:val="0"/>
          <w:divBdr>
            <w:top w:val="none" w:sz="0" w:space="0" w:color="auto"/>
            <w:left w:val="none" w:sz="0" w:space="0" w:color="auto"/>
            <w:bottom w:val="none" w:sz="0" w:space="0" w:color="auto"/>
            <w:right w:val="none" w:sz="0" w:space="0" w:color="auto"/>
          </w:divBdr>
        </w:div>
      </w:divsChild>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D875-3084-4AE4-8A9D-9915A1EA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6737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2018-04-11T16:24:00Z</cp:lastPrinted>
  <dcterms:created xsi:type="dcterms:W3CDTF">2019-05-07T17:57:00Z</dcterms:created>
  <dcterms:modified xsi:type="dcterms:W3CDTF">2019-05-07T17:57:00Z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http://www.zotero.org/styles/ecology-letters</vt:lpwstr>
  </property>
  <property fmtid="{D5CDD505-2E9C-101B-9397-08002B2CF9AE}" pid="15" name="Mendeley Recent Style Name 6_1">
    <vt:lpwstr>Ecology Letters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