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0BFE6" w14:textId="77777777" w:rsidR="005A4FB1" w:rsidRDefault="005A4FB1" w:rsidP="005A4FB1">
      <w:pPr>
        <w:jc w:val="center"/>
        <w:rPr>
          <w:rFonts w:cs="Arial"/>
          <w:i/>
        </w:rPr>
      </w:pPr>
    </w:p>
    <w:p w14:paraId="5D7E87F6" w14:textId="77777777" w:rsidR="006E0EFD" w:rsidRPr="00C9654A" w:rsidRDefault="006E0EFD" w:rsidP="005A4FB1">
      <w:pPr>
        <w:rPr>
          <w:rFonts w:cs="Arial"/>
          <w:i/>
        </w:rPr>
      </w:pPr>
      <w:r w:rsidRPr="009D6EC8">
        <w:rPr>
          <w:rFonts w:cs="Arial"/>
          <w:b/>
        </w:rPr>
        <w:t>PROJECT TITLE:</w:t>
      </w:r>
      <w:r w:rsidR="00F152A1">
        <w:rPr>
          <w:rFonts w:cs="Arial"/>
          <w:b/>
        </w:rPr>
        <w:t xml:space="preserve"> </w:t>
      </w:r>
      <w:r w:rsidR="00F952B7" w:rsidRPr="00F952B7">
        <w:rPr>
          <w:rFonts w:cs="Arial"/>
        </w:rPr>
        <w:t>Lignin-c</w:t>
      </w:r>
      <w:r w:rsidR="00F152A1" w:rsidRPr="00C9654A">
        <w:rPr>
          <w:rFonts w:cs="Arial"/>
        </w:rPr>
        <w:t>oated fertilizers</w:t>
      </w:r>
      <w:r w:rsidR="00C9654A">
        <w:rPr>
          <w:rFonts w:cs="Arial"/>
        </w:rPr>
        <w:t xml:space="preserve"> for phosphate </w:t>
      </w:r>
      <w:r w:rsidR="003E7F6F">
        <w:rPr>
          <w:rFonts w:cs="Arial"/>
        </w:rPr>
        <w:t xml:space="preserve">control </w:t>
      </w:r>
    </w:p>
    <w:p w14:paraId="5A32C50E" w14:textId="77777777" w:rsidR="006E0EFD" w:rsidRPr="009D6EC8" w:rsidRDefault="006E0EFD" w:rsidP="006E0EFD">
      <w:pPr>
        <w:rPr>
          <w:rFonts w:cs="Arial"/>
        </w:rPr>
      </w:pPr>
    </w:p>
    <w:p w14:paraId="68BE8379" w14:textId="77777777" w:rsidR="006E0EFD" w:rsidRPr="009D6EC8" w:rsidRDefault="006E0EFD" w:rsidP="006E0EFD">
      <w:pPr>
        <w:rPr>
          <w:rFonts w:cs="Arial"/>
        </w:rPr>
      </w:pPr>
      <w:r w:rsidRPr="009D6EC8">
        <w:rPr>
          <w:rFonts w:cs="Arial"/>
          <w:b/>
        </w:rPr>
        <w:t>I. PROJECT STATEMENT</w:t>
      </w:r>
    </w:p>
    <w:p w14:paraId="6FC6AD8B" w14:textId="31286B1A" w:rsidR="008B4E63" w:rsidRDefault="00984784" w:rsidP="00D55903">
      <w:pPr>
        <w:rPr>
          <w:rFonts w:cs="Arial"/>
        </w:rPr>
      </w:pPr>
      <w:r>
        <w:rPr>
          <w:rFonts w:cs="Arial"/>
        </w:rPr>
        <w:t xml:space="preserve">This proposed project will provide a real-world test of a novel, bio-based, fertilizer coating that slows nutrient release to reduce nutrient runoff from agricultural fields. </w:t>
      </w:r>
      <w:r w:rsidR="00D37BC1">
        <w:rPr>
          <w:rFonts w:cs="Arial"/>
        </w:rPr>
        <w:t>Anthropogenic</w:t>
      </w:r>
      <w:r w:rsidR="00D37BC1" w:rsidRPr="00D37BC1">
        <w:rPr>
          <w:rFonts w:cs="Arial"/>
        </w:rPr>
        <w:t xml:space="preserve"> phosphorus pollution is reaching dangerously high levels in freshwater basins around the world</w:t>
      </w:r>
      <w:r w:rsidR="004E5FBB">
        <w:rPr>
          <w:rFonts w:cs="Arial"/>
        </w:rPr>
        <w:t>, with</w:t>
      </w:r>
      <w:r w:rsidR="007F1F3E">
        <w:rPr>
          <w:rFonts w:cs="Arial"/>
        </w:rPr>
        <w:t xml:space="preserve"> mineral phosphate </w:t>
      </w:r>
      <w:r w:rsidR="00F406AC">
        <w:rPr>
          <w:rFonts w:cs="Arial"/>
        </w:rPr>
        <w:t xml:space="preserve">fertilizers from </w:t>
      </w:r>
      <w:r w:rsidR="00205D85">
        <w:rPr>
          <w:rFonts w:cs="Arial"/>
        </w:rPr>
        <w:t>cereal</w:t>
      </w:r>
      <w:r w:rsidR="00F406AC">
        <w:rPr>
          <w:rFonts w:cs="Arial"/>
        </w:rPr>
        <w:t xml:space="preserve"> grain farming being among the largest </w:t>
      </w:r>
      <w:r w:rsidR="001B7D20">
        <w:rPr>
          <w:rFonts w:cs="Arial"/>
        </w:rPr>
        <w:t>contributing</w:t>
      </w:r>
      <w:r w:rsidR="00F406AC">
        <w:rPr>
          <w:rFonts w:cs="Arial"/>
        </w:rPr>
        <w:t xml:space="preserve"> sources</w:t>
      </w:r>
      <w:r w:rsidR="008B3693" w:rsidRPr="008B3693">
        <w:rPr>
          <w:rFonts w:cs="Arial"/>
          <w:vertAlign w:val="superscript"/>
        </w:rPr>
        <w:t>1</w:t>
      </w:r>
      <w:r w:rsidR="00D37BC1">
        <w:rPr>
          <w:rFonts w:cs="Arial"/>
        </w:rPr>
        <w:t xml:space="preserve">. </w:t>
      </w:r>
      <w:r w:rsidR="00D55903" w:rsidRPr="00D55903">
        <w:rPr>
          <w:rFonts w:cs="Arial"/>
        </w:rPr>
        <w:t xml:space="preserve">Phosphorus is a common component of </w:t>
      </w:r>
      <w:r w:rsidR="00BF2A4F">
        <w:rPr>
          <w:rFonts w:cs="Arial"/>
        </w:rPr>
        <w:t xml:space="preserve">both </w:t>
      </w:r>
      <w:r w:rsidR="00D55903" w:rsidRPr="00D55903">
        <w:rPr>
          <w:rFonts w:cs="Arial"/>
        </w:rPr>
        <w:t>mineral and manure fertilizers b</w:t>
      </w:r>
      <w:bookmarkStart w:id="0" w:name="_GoBack"/>
      <w:bookmarkEnd w:id="0"/>
      <w:r w:rsidR="00D55903" w:rsidRPr="00D55903">
        <w:rPr>
          <w:rFonts w:cs="Arial"/>
        </w:rPr>
        <w:t xml:space="preserve">ecause it </w:t>
      </w:r>
      <w:r w:rsidR="00BF2A4F">
        <w:rPr>
          <w:rFonts w:cs="Arial"/>
        </w:rPr>
        <w:t>is necess</w:t>
      </w:r>
      <w:r w:rsidR="00E16B7B">
        <w:rPr>
          <w:rFonts w:cs="Arial"/>
        </w:rPr>
        <w:t xml:space="preserve">ary to achieve high crop yields </w:t>
      </w:r>
      <w:r w:rsidR="00716E44">
        <w:rPr>
          <w:rFonts w:cs="Arial"/>
        </w:rPr>
        <w:t>necessary to support conventional family farms in Minnesota</w:t>
      </w:r>
      <w:r w:rsidR="00D55903" w:rsidRPr="00D55903">
        <w:rPr>
          <w:rFonts w:cs="Arial"/>
        </w:rPr>
        <w:t>. However, a large portion of phosphorus applied as fertilizer is not taken up by plants, and either builds up in the soil or washes into</w:t>
      </w:r>
      <w:r w:rsidR="00716E44">
        <w:rPr>
          <w:rFonts w:cs="Arial"/>
        </w:rPr>
        <w:t xml:space="preserve"> rivers, lakes and coastal seas</w:t>
      </w:r>
      <w:r w:rsidR="00D55903" w:rsidRPr="00D55903">
        <w:rPr>
          <w:rFonts w:cs="Arial"/>
        </w:rPr>
        <w:t>.</w:t>
      </w:r>
      <w:r w:rsidR="008B4E63">
        <w:rPr>
          <w:rFonts w:cs="Arial"/>
        </w:rPr>
        <w:t xml:space="preserve"> </w:t>
      </w:r>
      <w:r w:rsidR="00166270">
        <w:rPr>
          <w:rFonts w:cs="Arial"/>
        </w:rPr>
        <w:t xml:space="preserve">Minnesota has </w:t>
      </w:r>
      <w:r w:rsidR="00E05A65">
        <w:rPr>
          <w:rFonts w:cs="Arial"/>
        </w:rPr>
        <w:t xml:space="preserve">implemented policies aimed at reducing agricultural runoff through wetlands preservation and increased buffer strips around fields. </w:t>
      </w:r>
      <w:r w:rsidR="009A3BBC">
        <w:rPr>
          <w:rFonts w:cs="Arial"/>
        </w:rPr>
        <w:t xml:space="preserve">Another way to reduce </w:t>
      </w:r>
      <w:r w:rsidR="007E3014">
        <w:rPr>
          <w:rFonts w:cs="Arial"/>
        </w:rPr>
        <w:t xml:space="preserve">fertilizer runoff is to coat fertilizer particles in a </w:t>
      </w:r>
      <w:r w:rsidR="00406BC4">
        <w:rPr>
          <w:rFonts w:cs="Arial"/>
        </w:rPr>
        <w:t>material that controls water diffusion so that the nutrients are released slowly over time</w:t>
      </w:r>
      <w:r w:rsidR="00485A76">
        <w:rPr>
          <w:rFonts w:cs="Arial"/>
        </w:rPr>
        <w:t xml:space="preserve">, giving the crop roots a chance to </w:t>
      </w:r>
      <w:r w:rsidR="00A4336A">
        <w:rPr>
          <w:rFonts w:cs="Arial"/>
        </w:rPr>
        <w:t xml:space="preserve">absorb the fertilizer before </w:t>
      </w:r>
      <w:r w:rsidR="003713A6">
        <w:rPr>
          <w:rFonts w:cs="Arial"/>
        </w:rPr>
        <w:t xml:space="preserve">percolation and runoff can remove the product. </w:t>
      </w:r>
      <w:r w:rsidR="007F4B3E">
        <w:rPr>
          <w:rFonts w:cs="Arial"/>
        </w:rPr>
        <w:t>There has been work on developing slow release fertilizers, but there remains</w:t>
      </w:r>
      <w:r w:rsidR="00BD38CA">
        <w:rPr>
          <w:rFonts w:cs="Arial"/>
        </w:rPr>
        <w:t xml:space="preserve"> a need to address </w:t>
      </w:r>
      <w:r w:rsidR="00583969">
        <w:rPr>
          <w:rFonts w:cs="Arial"/>
        </w:rPr>
        <w:t xml:space="preserve">issues of cost, </w:t>
      </w:r>
      <w:r w:rsidR="00400E73">
        <w:rPr>
          <w:rFonts w:cs="Arial"/>
        </w:rPr>
        <w:t>performance, and</w:t>
      </w:r>
      <w:r w:rsidR="009B0D32">
        <w:rPr>
          <w:rFonts w:cs="Arial"/>
        </w:rPr>
        <w:t xml:space="preserve"> effective</w:t>
      </w:r>
      <w:r w:rsidR="00400E73">
        <w:rPr>
          <w:rFonts w:cs="Arial"/>
        </w:rPr>
        <w:t xml:space="preserve"> implementation </w:t>
      </w:r>
      <w:r w:rsidR="009B0D32">
        <w:rPr>
          <w:rFonts w:cs="Arial"/>
        </w:rPr>
        <w:t>by farmers</w:t>
      </w:r>
      <w:r w:rsidR="008B3693" w:rsidRPr="008B3693">
        <w:rPr>
          <w:rFonts w:cs="Arial"/>
          <w:vertAlign w:val="superscript"/>
        </w:rPr>
        <w:t>2</w:t>
      </w:r>
      <w:r w:rsidR="00C51671">
        <w:rPr>
          <w:rFonts w:cs="Arial"/>
        </w:rPr>
        <w:t>.</w:t>
      </w:r>
    </w:p>
    <w:p w14:paraId="33FC9F9D" w14:textId="76A18B53" w:rsidR="00B37C17" w:rsidRDefault="00B55234" w:rsidP="00D55903">
      <w:pPr>
        <w:rPr>
          <w:rFonts w:cs="Arial"/>
        </w:rPr>
      </w:pPr>
      <w:r>
        <w:rPr>
          <w:rFonts w:cs="Arial"/>
        </w:rPr>
        <w:tab/>
      </w:r>
      <w:r w:rsidR="00B37C17">
        <w:rPr>
          <w:rFonts w:cs="Arial"/>
        </w:rPr>
        <w:t xml:space="preserve">We are developing </w:t>
      </w:r>
      <w:r w:rsidR="008B4E63">
        <w:rPr>
          <w:rFonts w:cs="Arial"/>
        </w:rPr>
        <w:t xml:space="preserve">a technological solution </w:t>
      </w:r>
      <w:r w:rsidR="00B37C17">
        <w:rPr>
          <w:rFonts w:cs="Arial"/>
        </w:rPr>
        <w:t xml:space="preserve">to </w:t>
      </w:r>
      <w:r w:rsidR="004B3358">
        <w:rPr>
          <w:rFonts w:cs="Arial"/>
        </w:rPr>
        <w:t xml:space="preserve">address this need. We have </w:t>
      </w:r>
      <w:r w:rsidR="00B37C17">
        <w:rPr>
          <w:rFonts w:cs="Arial"/>
        </w:rPr>
        <w:t>create</w:t>
      </w:r>
      <w:r w:rsidR="004B3358">
        <w:rPr>
          <w:rFonts w:cs="Arial"/>
        </w:rPr>
        <w:t>d</w:t>
      </w:r>
      <w:r w:rsidR="00B37C17">
        <w:rPr>
          <w:rFonts w:cs="Arial"/>
        </w:rPr>
        <w:t xml:space="preserve"> a slow-release fertilizer</w:t>
      </w:r>
      <w:r w:rsidR="00BD575E">
        <w:rPr>
          <w:rFonts w:cs="Arial"/>
        </w:rPr>
        <w:t xml:space="preserve"> coating</w:t>
      </w:r>
      <w:r w:rsidR="00B37C17">
        <w:rPr>
          <w:rFonts w:cs="Arial"/>
        </w:rPr>
        <w:t xml:space="preserve"> made from lignin, a byproduct of cellulosic ethanol production</w:t>
      </w:r>
      <w:r w:rsidR="00BD575E">
        <w:rPr>
          <w:rFonts w:cs="Arial"/>
        </w:rPr>
        <w:t xml:space="preserve">. This form of lignin has properties that allow it to be </w:t>
      </w:r>
      <w:r w:rsidR="00FA588E">
        <w:rPr>
          <w:rFonts w:cs="Arial"/>
        </w:rPr>
        <w:t xml:space="preserve">processed like a plastic, yet it is a 100% natural and biodegradable material made from </w:t>
      </w:r>
      <w:r w:rsidR="003350A9">
        <w:rPr>
          <w:rFonts w:cs="Arial"/>
        </w:rPr>
        <w:t>wood</w:t>
      </w:r>
      <w:r w:rsidR="00FA588E">
        <w:rPr>
          <w:rFonts w:cs="Arial"/>
        </w:rPr>
        <w:t xml:space="preserve">. </w:t>
      </w:r>
      <w:r w:rsidR="00206484">
        <w:rPr>
          <w:rFonts w:cs="Arial"/>
        </w:rPr>
        <w:t xml:space="preserve">We have developed formulations with this material that can be coated onto granulated </w:t>
      </w:r>
      <w:r w:rsidR="001E0B5B">
        <w:rPr>
          <w:rFonts w:cs="Arial"/>
        </w:rPr>
        <w:t xml:space="preserve">fertilizers to control the rate of dissolution and thereby </w:t>
      </w:r>
      <w:r w:rsidR="00663F97">
        <w:rPr>
          <w:rFonts w:cs="Arial"/>
        </w:rPr>
        <w:t>maintain</w:t>
      </w:r>
      <w:r w:rsidR="001E0B5B">
        <w:rPr>
          <w:rFonts w:cs="Arial"/>
        </w:rPr>
        <w:t xml:space="preserve"> a </w:t>
      </w:r>
      <w:r w:rsidR="00151ADF">
        <w:rPr>
          <w:rFonts w:cs="Arial"/>
        </w:rPr>
        <w:t xml:space="preserve">constant </w:t>
      </w:r>
      <w:r w:rsidR="006C6820">
        <w:rPr>
          <w:rFonts w:cs="Arial"/>
        </w:rPr>
        <w:t xml:space="preserve">nutrient supply in fields without the need to over application. When the fertilizer </w:t>
      </w:r>
      <w:r w:rsidR="00C61D1C">
        <w:rPr>
          <w:rFonts w:cs="Arial"/>
        </w:rPr>
        <w:t>is used up from a coated particle, the lignin coating becomes part of the slow-</w:t>
      </w:r>
      <w:r w:rsidR="00D13D3B">
        <w:rPr>
          <w:rFonts w:cs="Arial"/>
        </w:rPr>
        <w:t xml:space="preserve">turnover carbon pool in the soil. Therefore, implementation of this technology </w:t>
      </w:r>
      <w:r w:rsidR="00B149B0">
        <w:rPr>
          <w:rFonts w:cs="Arial"/>
        </w:rPr>
        <w:t xml:space="preserve">throughout the agricultural sector has the </w:t>
      </w:r>
      <w:r w:rsidR="00D2602A">
        <w:rPr>
          <w:rFonts w:cs="Arial"/>
        </w:rPr>
        <w:t>potential</w:t>
      </w:r>
      <w:r w:rsidR="00B149B0">
        <w:rPr>
          <w:rFonts w:cs="Arial"/>
        </w:rPr>
        <w:t xml:space="preserve"> </w:t>
      </w:r>
      <w:r w:rsidR="00D2602A">
        <w:rPr>
          <w:rFonts w:cs="Arial"/>
        </w:rPr>
        <w:t xml:space="preserve">both </w:t>
      </w:r>
      <w:r w:rsidR="00B149B0">
        <w:rPr>
          <w:rFonts w:cs="Arial"/>
        </w:rPr>
        <w:t xml:space="preserve">to decrease </w:t>
      </w:r>
      <w:r w:rsidR="00D2602A">
        <w:rPr>
          <w:rFonts w:cs="Arial"/>
        </w:rPr>
        <w:t>eutrophication and increase carbon sequestration.</w:t>
      </w:r>
    </w:p>
    <w:p w14:paraId="2E6AE8EA" w14:textId="78439B5E" w:rsidR="00984784" w:rsidRDefault="00984784" w:rsidP="00D55903">
      <w:pPr>
        <w:rPr>
          <w:rFonts w:cs="Arial"/>
        </w:rPr>
      </w:pPr>
      <w:r>
        <w:rPr>
          <w:rFonts w:cs="Arial"/>
        </w:rPr>
        <w:tab/>
        <w:t>At the end of this project, we will have demonstrated the scale-up of the coating process and have acquired necessary real-world data on the efficacy of this coating material to bring it to market. NRRI is working with the University of Minnesota Technology Commercialization office to patent the technology and identify commercialization partners. Likely partners would include Minnesota-based fertilizer distributer Mosaic for agricultural markets and Ohio-based Scotts for l</w:t>
      </w:r>
      <w:r w:rsidR="005D2E2A">
        <w:rPr>
          <w:rFonts w:cs="Arial"/>
        </w:rPr>
        <w:t xml:space="preserve">awn and golf course markets. </w:t>
      </w:r>
      <w:r w:rsidR="001E0DD7">
        <w:rPr>
          <w:rFonts w:cs="Arial"/>
        </w:rPr>
        <w:t xml:space="preserve">The results from this research program are essential to attracting high-profile commercialization partners such as these. </w:t>
      </w:r>
      <w:r>
        <w:rPr>
          <w:rFonts w:cs="Arial"/>
        </w:rPr>
        <w:t xml:space="preserve"> </w:t>
      </w:r>
    </w:p>
    <w:p w14:paraId="7D841615" w14:textId="77777777" w:rsidR="00B37C17" w:rsidRDefault="00B37C17" w:rsidP="00D55903">
      <w:pPr>
        <w:rPr>
          <w:rFonts w:cs="Arial"/>
        </w:rPr>
      </w:pPr>
    </w:p>
    <w:p w14:paraId="4F5031D8"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348" w:type="dxa"/>
        <w:tblLook w:val="04A0" w:firstRow="1" w:lastRow="0" w:firstColumn="1" w:lastColumn="0" w:noHBand="0" w:noVBand="1"/>
      </w:tblPr>
      <w:tblGrid>
        <w:gridCol w:w="8281"/>
        <w:gridCol w:w="1795"/>
        <w:gridCol w:w="2272"/>
      </w:tblGrid>
      <w:tr w:rsidR="00305325" w:rsidRPr="00EB5831" w14:paraId="68AEA9CE" w14:textId="77777777" w:rsidTr="00A51713">
        <w:tc>
          <w:tcPr>
            <w:tcW w:w="10080" w:type="dxa"/>
            <w:gridSpan w:val="2"/>
          </w:tcPr>
          <w:p w14:paraId="5294FC04" w14:textId="77777777" w:rsidR="00B55234" w:rsidRDefault="00686B53" w:rsidP="00217C2A">
            <w:pPr>
              <w:widowControl w:val="0"/>
              <w:rPr>
                <w:rFonts w:cs="Arial"/>
              </w:rPr>
            </w:pPr>
            <w:r w:rsidRPr="00EB5831">
              <w:rPr>
                <w:rFonts w:cs="Arial"/>
                <w:b/>
              </w:rPr>
              <w:t>Activity 1</w:t>
            </w:r>
            <w:r w:rsidR="008A5FD9">
              <w:rPr>
                <w:rFonts w:cs="Arial"/>
                <w:b/>
              </w:rPr>
              <w:t xml:space="preserve"> Title</w:t>
            </w:r>
            <w:r w:rsidRPr="00EB5831">
              <w:rPr>
                <w:rFonts w:cs="Arial"/>
                <w:b/>
              </w:rPr>
              <w:t>:</w:t>
            </w:r>
            <w:r w:rsidR="00C51671">
              <w:rPr>
                <w:rFonts w:cs="Arial"/>
                <w:b/>
              </w:rPr>
              <w:t xml:space="preserve"> </w:t>
            </w:r>
            <w:r w:rsidR="00B55234" w:rsidRPr="00B55234">
              <w:rPr>
                <w:rFonts w:cs="Arial"/>
              </w:rPr>
              <w:t>S</w:t>
            </w:r>
            <w:r w:rsidR="00C51671">
              <w:rPr>
                <w:rFonts w:cs="Arial"/>
              </w:rPr>
              <w:t xml:space="preserve">cale-up of </w:t>
            </w:r>
            <w:r w:rsidR="00D61582">
              <w:rPr>
                <w:rFonts w:cs="Arial"/>
              </w:rPr>
              <w:t>lignin-material coated fertilizer</w:t>
            </w:r>
            <w:r w:rsidR="00B55234">
              <w:rPr>
                <w:rFonts w:cs="Arial"/>
              </w:rPr>
              <w:t xml:space="preserve"> and performance testing. </w:t>
            </w:r>
          </w:p>
          <w:p w14:paraId="4896C075" w14:textId="578843D6" w:rsidR="00686B53" w:rsidRPr="001B7FA3" w:rsidRDefault="008A5FD9" w:rsidP="00A51713">
            <w:pPr>
              <w:widowControl w:val="0"/>
              <w:ind w:right="-286"/>
              <w:rPr>
                <w:rFonts w:cs="Arial"/>
                <w:i/>
              </w:rPr>
            </w:pPr>
            <w:r>
              <w:rPr>
                <w:rFonts w:cs="Arial"/>
                <w:b/>
              </w:rPr>
              <w:t>Description:</w:t>
            </w:r>
            <w:r w:rsidR="00686B53" w:rsidRPr="00EB5831">
              <w:rPr>
                <w:rFonts w:cs="Arial"/>
                <w:i/>
              </w:rPr>
              <w:t xml:space="preserve"> </w:t>
            </w:r>
            <w:r w:rsidR="00760C4C" w:rsidRPr="001B7FA3">
              <w:rPr>
                <w:rFonts w:cs="Arial"/>
                <w:i/>
              </w:rPr>
              <w:t xml:space="preserve">We will purchase </w:t>
            </w:r>
            <w:r w:rsidR="00305325">
              <w:rPr>
                <w:rFonts w:cs="Arial"/>
                <w:i/>
              </w:rPr>
              <w:t>5</w:t>
            </w:r>
            <w:r w:rsidR="00696D14" w:rsidRPr="001B7FA3">
              <w:rPr>
                <w:rFonts w:cs="Arial"/>
                <w:i/>
              </w:rPr>
              <w:t xml:space="preserve">00 kg of granulated high phosphate fertilizer and </w:t>
            </w:r>
            <w:r w:rsidR="00D67F4A" w:rsidRPr="001B7FA3">
              <w:rPr>
                <w:rFonts w:cs="Arial"/>
                <w:i/>
              </w:rPr>
              <w:t>apply our best-performing lignin</w:t>
            </w:r>
            <w:r w:rsidR="001812E4">
              <w:rPr>
                <w:rFonts w:cs="Arial"/>
                <w:i/>
              </w:rPr>
              <w:t>-based coating, developed in collaboration with colleagues from the Technical University of Cologne, Germany</w:t>
            </w:r>
            <w:r w:rsidR="003C1C50" w:rsidRPr="001B7FA3">
              <w:rPr>
                <w:rFonts w:cs="Arial"/>
                <w:i/>
              </w:rPr>
              <w:t xml:space="preserve">. This work will be done at NRRI’s prototype laboratory using </w:t>
            </w:r>
            <w:r w:rsidR="004065DB" w:rsidRPr="001B7FA3">
              <w:rPr>
                <w:rFonts w:cs="Arial"/>
                <w:i/>
              </w:rPr>
              <w:t xml:space="preserve">a pilot </w:t>
            </w:r>
            <w:proofErr w:type="spellStart"/>
            <w:r w:rsidR="004065DB" w:rsidRPr="001B7FA3">
              <w:rPr>
                <w:rFonts w:cs="Arial"/>
                <w:i/>
              </w:rPr>
              <w:t>spheronizer</w:t>
            </w:r>
            <w:proofErr w:type="spellEnd"/>
            <w:r w:rsidR="006367C1" w:rsidRPr="001B7FA3">
              <w:rPr>
                <w:rFonts w:cs="Arial"/>
                <w:i/>
              </w:rPr>
              <w:t>. We will produce sufficient quantities for all greenhouse testing in year 1</w:t>
            </w:r>
            <w:r w:rsidR="00D1046A" w:rsidRPr="001B7FA3">
              <w:rPr>
                <w:rFonts w:cs="Arial"/>
                <w:i/>
              </w:rPr>
              <w:t xml:space="preserve">. We will make formulation adjustments based on findings from greenhouse </w:t>
            </w:r>
            <w:r w:rsidR="00082326" w:rsidRPr="001B7FA3">
              <w:rPr>
                <w:rFonts w:cs="Arial"/>
                <w:i/>
              </w:rPr>
              <w:t xml:space="preserve">studies </w:t>
            </w:r>
            <w:r w:rsidR="00B55234">
              <w:rPr>
                <w:rFonts w:cs="Arial"/>
                <w:i/>
              </w:rPr>
              <w:t>during</w:t>
            </w:r>
            <w:r w:rsidR="00082326" w:rsidRPr="001B7FA3">
              <w:rPr>
                <w:rFonts w:cs="Arial"/>
                <w:i/>
              </w:rPr>
              <w:t xml:space="preserve"> scale-up for field production.</w:t>
            </w:r>
            <w:r w:rsidR="00B55234">
              <w:rPr>
                <w:rFonts w:cs="Arial"/>
                <w:i/>
              </w:rPr>
              <w:t xml:space="preserve"> We will contribute to greenhouse and field trials with chemical and statistical analyses and reporting.</w:t>
            </w:r>
          </w:p>
          <w:p w14:paraId="04981B71" w14:textId="219F3EB0" w:rsidR="005431D4" w:rsidRPr="008B3693" w:rsidRDefault="005431D4" w:rsidP="005A4FB1">
            <w:pPr>
              <w:autoSpaceDE w:val="0"/>
              <w:autoSpaceDN w:val="0"/>
              <w:adjustRightInd w:val="0"/>
              <w:rPr>
                <w:rFonts w:cs="Arial"/>
                <w:b/>
                <w:bCs/>
                <w:color w:val="000000"/>
              </w:rPr>
            </w:pPr>
            <w:r>
              <w:rPr>
                <w:rFonts w:cs="Arial"/>
                <w:b/>
                <w:bCs/>
                <w:color w:val="000000"/>
              </w:rPr>
              <w:t>ENRTF BUDGET: $</w:t>
            </w:r>
            <w:r w:rsidR="00B55234">
              <w:rPr>
                <w:rFonts w:cs="Arial"/>
                <w:b/>
                <w:bCs/>
                <w:color w:val="000000"/>
              </w:rPr>
              <w:t xml:space="preserve"> </w:t>
            </w:r>
            <w:r w:rsidR="007F720F">
              <w:rPr>
                <w:rFonts w:cs="Arial"/>
                <w:b/>
                <w:bCs/>
                <w:color w:val="000000"/>
              </w:rPr>
              <w:t>145,939</w:t>
            </w:r>
          </w:p>
        </w:tc>
        <w:tc>
          <w:tcPr>
            <w:tcW w:w="2268" w:type="dxa"/>
          </w:tcPr>
          <w:p w14:paraId="5A617ABE" w14:textId="77777777" w:rsidR="00686B53" w:rsidRPr="00EB5831" w:rsidRDefault="00686B53" w:rsidP="00351EA6">
            <w:pPr>
              <w:rPr>
                <w:rFonts w:cs="Arial"/>
              </w:rPr>
            </w:pPr>
          </w:p>
        </w:tc>
      </w:tr>
      <w:tr w:rsidR="006E0EFD" w:rsidRPr="009D6EC8" w14:paraId="52D5587A" w14:textId="77777777" w:rsidTr="00181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36B5742E" w14:textId="77777777" w:rsidR="006E0EFD" w:rsidRPr="009D6EC8" w:rsidRDefault="00A13F26" w:rsidP="006E0EFD">
            <w:pPr>
              <w:rPr>
                <w:rFonts w:cs="Arial"/>
                <w:b/>
              </w:rPr>
            </w:pPr>
            <w:r w:rsidRPr="009D6EC8">
              <w:rPr>
                <w:rFonts w:cs="Arial"/>
                <w:b/>
              </w:rPr>
              <w:t>Outcome</w:t>
            </w:r>
          </w:p>
        </w:tc>
        <w:tc>
          <w:tcPr>
            <w:tcW w:w="1785" w:type="dxa"/>
          </w:tcPr>
          <w:p w14:paraId="6A36C94C" w14:textId="77777777" w:rsidR="006E0EFD" w:rsidRPr="009D6EC8" w:rsidRDefault="006E0EFD" w:rsidP="005F7237">
            <w:pPr>
              <w:jc w:val="center"/>
              <w:rPr>
                <w:rFonts w:cs="Arial"/>
                <w:b/>
              </w:rPr>
            </w:pPr>
            <w:r w:rsidRPr="009D6EC8">
              <w:rPr>
                <w:rFonts w:cs="Arial"/>
                <w:b/>
              </w:rPr>
              <w:t>Completion Date</w:t>
            </w:r>
          </w:p>
        </w:tc>
      </w:tr>
      <w:tr w:rsidR="006E0EFD" w:rsidRPr="009D6EC8" w14:paraId="02AE7B77" w14:textId="77777777" w:rsidTr="00181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5DB0216D" w14:textId="77777777" w:rsidR="006E0EFD" w:rsidRPr="009D6EC8" w:rsidRDefault="006E0EFD" w:rsidP="008949EE">
            <w:pPr>
              <w:rPr>
                <w:rFonts w:cs="Arial"/>
                <w:i/>
              </w:rPr>
            </w:pPr>
            <w:r w:rsidRPr="009D6EC8">
              <w:rPr>
                <w:rFonts w:cs="Arial"/>
                <w:i/>
              </w:rPr>
              <w:t xml:space="preserve">1.  </w:t>
            </w:r>
            <w:r w:rsidR="004745E1">
              <w:rPr>
                <w:rFonts w:cs="Arial"/>
                <w:i/>
              </w:rPr>
              <w:t>Sample coated fertilizer for greenhouse testing</w:t>
            </w:r>
          </w:p>
        </w:tc>
        <w:tc>
          <w:tcPr>
            <w:tcW w:w="1785" w:type="dxa"/>
          </w:tcPr>
          <w:p w14:paraId="48FF3C06" w14:textId="77777777" w:rsidR="006E0EFD" w:rsidRPr="009D6EC8" w:rsidRDefault="004745E1" w:rsidP="006E0EFD">
            <w:pPr>
              <w:rPr>
                <w:rFonts w:cs="Arial"/>
                <w:i/>
              </w:rPr>
            </w:pPr>
            <w:r>
              <w:rPr>
                <w:rFonts w:cs="Arial"/>
                <w:i/>
              </w:rPr>
              <w:t>December 2020</w:t>
            </w:r>
          </w:p>
        </w:tc>
      </w:tr>
      <w:tr w:rsidR="006E0EFD" w:rsidRPr="009D6EC8" w14:paraId="0C37B9F8" w14:textId="77777777" w:rsidTr="00181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7AC32A11" w14:textId="77777777" w:rsidR="006E0EFD" w:rsidRPr="009D6EC8" w:rsidRDefault="006E0EFD" w:rsidP="008949EE">
            <w:pPr>
              <w:rPr>
                <w:rFonts w:cs="Arial"/>
                <w:i/>
              </w:rPr>
            </w:pPr>
            <w:r w:rsidRPr="009D6EC8">
              <w:rPr>
                <w:rFonts w:cs="Arial"/>
                <w:i/>
              </w:rPr>
              <w:t>2.</w:t>
            </w:r>
            <w:r w:rsidR="001812E4">
              <w:rPr>
                <w:rFonts w:cs="Arial"/>
                <w:i/>
              </w:rPr>
              <w:t xml:space="preserve"> Measurements of phosphate dissolution rate and comparison with uncoated fertilizers</w:t>
            </w:r>
            <w:r w:rsidRPr="009D6EC8">
              <w:rPr>
                <w:rFonts w:cs="Arial"/>
                <w:i/>
              </w:rPr>
              <w:t xml:space="preserve">  </w:t>
            </w:r>
          </w:p>
        </w:tc>
        <w:tc>
          <w:tcPr>
            <w:tcW w:w="1785" w:type="dxa"/>
          </w:tcPr>
          <w:p w14:paraId="2C31C3F8" w14:textId="77777777" w:rsidR="006E0EFD" w:rsidRPr="009D6EC8" w:rsidRDefault="001812E4" w:rsidP="006E0EFD">
            <w:pPr>
              <w:rPr>
                <w:rFonts w:cs="Arial"/>
                <w:i/>
              </w:rPr>
            </w:pPr>
            <w:r>
              <w:rPr>
                <w:rFonts w:cs="Arial"/>
                <w:i/>
              </w:rPr>
              <w:t>December 2020</w:t>
            </w:r>
          </w:p>
        </w:tc>
      </w:tr>
      <w:tr w:rsidR="006E0EFD" w:rsidRPr="009D6EC8" w14:paraId="3222610D" w14:textId="77777777" w:rsidTr="00181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50E60D66" w14:textId="77777777" w:rsidR="006E0EFD" w:rsidRPr="009D6EC8" w:rsidRDefault="006E0EFD" w:rsidP="008949EE">
            <w:pPr>
              <w:rPr>
                <w:rFonts w:cs="Arial"/>
                <w:i/>
              </w:rPr>
            </w:pPr>
            <w:r w:rsidRPr="009D6EC8">
              <w:rPr>
                <w:rFonts w:cs="Arial"/>
                <w:i/>
              </w:rPr>
              <w:t xml:space="preserve">3. </w:t>
            </w:r>
            <w:r w:rsidR="001812E4">
              <w:rPr>
                <w:rFonts w:cs="Arial"/>
                <w:i/>
              </w:rPr>
              <w:t xml:space="preserve">Scaled-up production of fertilizer </w:t>
            </w:r>
          </w:p>
        </w:tc>
        <w:tc>
          <w:tcPr>
            <w:tcW w:w="1785" w:type="dxa"/>
          </w:tcPr>
          <w:p w14:paraId="249CE5A3" w14:textId="77777777" w:rsidR="006E0EFD" w:rsidRPr="009D6EC8" w:rsidRDefault="001812E4" w:rsidP="006E0EFD">
            <w:pPr>
              <w:rPr>
                <w:rFonts w:cs="Arial"/>
                <w:i/>
              </w:rPr>
            </w:pPr>
            <w:r>
              <w:rPr>
                <w:rFonts w:cs="Arial"/>
                <w:i/>
              </w:rPr>
              <w:t>April 2021</w:t>
            </w:r>
          </w:p>
        </w:tc>
      </w:tr>
      <w:tr w:rsidR="009F07AB" w:rsidRPr="009D6EC8" w14:paraId="65AA55C6" w14:textId="77777777" w:rsidTr="00181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73" w:type="dxa"/>
        </w:trPr>
        <w:tc>
          <w:tcPr>
            <w:tcW w:w="8285" w:type="dxa"/>
          </w:tcPr>
          <w:p w14:paraId="6BF20A75" w14:textId="77777777" w:rsidR="009F07AB" w:rsidRPr="009D6EC8" w:rsidRDefault="009F07AB" w:rsidP="008949EE">
            <w:pPr>
              <w:rPr>
                <w:rFonts w:cs="Arial"/>
                <w:i/>
              </w:rPr>
            </w:pPr>
            <w:r>
              <w:rPr>
                <w:rFonts w:cs="Arial"/>
                <w:i/>
              </w:rPr>
              <w:t xml:space="preserve">4. </w:t>
            </w:r>
            <w:r w:rsidR="00B55234">
              <w:rPr>
                <w:rFonts w:cs="Arial"/>
                <w:i/>
              </w:rPr>
              <w:t xml:space="preserve">Analyze samples and data from </w:t>
            </w:r>
            <w:r>
              <w:rPr>
                <w:rFonts w:cs="Arial"/>
                <w:i/>
              </w:rPr>
              <w:t xml:space="preserve">greenhouse and field performance </w:t>
            </w:r>
          </w:p>
        </w:tc>
        <w:tc>
          <w:tcPr>
            <w:tcW w:w="1785" w:type="dxa"/>
          </w:tcPr>
          <w:p w14:paraId="3F88296F" w14:textId="77777777" w:rsidR="009F07AB" w:rsidRDefault="009F07AB" w:rsidP="006E0EFD">
            <w:pPr>
              <w:rPr>
                <w:rFonts w:cs="Arial"/>
                <w:i/>
              </w:rPr>
            </w:pPr>
            <w:r>
              <w:rPr>
                <w:rFonts w:cs="Arial"/>
                <w:i/>
              </w:rPr>
              <w:t>June 2022</w:t>
            </w:r>
          </w:p>
        </w:tc>
      </w:tr>
    </w:tbl>
    <w:p w14:paraId="52A96D96" w14:textId="77777777" w:rsidR="00C02DAD" w:rsidRDefault="00C02DAD" w:rsidP="005431D4">
      <w:pPr>
        <w:tabs>
          <w:tab w:val="left" w:pos="540"/>
        </w:tabs>
        <w:autoSpaceDE w:val="0"/>
        <w:autoSpaceDN w:val="0"/>
        <w:adjustRightInd w:val="0"/>
        <w:rPr>
          <w:rFonts w:cs="Arial"/>
          <w:i/>
        </w:rPr>
      </w:pPr>
    </w:p>
    <w:tbl>
      <w:tblPr>
        <w:tblW w:w="12528" w:type="dxa"/>
        <w:tblLook w:val="04A0" w:firstRow="1" w:lastRow="0" w:firstColumn="1" w:lastColumn="0" w:noHBand="0" w:noVBand="1"/>
      </w:tblPr>
      <w:tblGrid>
        <w:gridCol w:w="8284"/>
        <w:gridCol w:w="1786"/>
        <w:gridCol w:w="190"/>
        <w:gridCol w:w="2268"/>
      </w:tblGrid>
      <w:tr w:rsidR="00305325" w:rsidRPr="00EB5831" w14:paraId="02976F8B" w14:textId="77777777" w:rsidTr="00A51713">
        <w:tc>
          <w:tcPr>
            <w:tcW w:w="10260" w:type="dxa"/>
            <w:gridSpan w:val="3"/>
          </w:tcPr>
          <w:p w14:paraId="48DDF978" w14:textId="77777777" w:rsidR="00424B38" w:rsidRPr="005B7A0B" w:rsidRDefault="00424B38" w:rsidP="00B6606B">
            <w:pPr>
              <w:widowControl w:val="0"/>
              <w:rPr>
                <w:rFonts w:cs="Arial"/>
              </w:rPr>
            </w:pPr>
            <w:r w:rsidRPr="00EB5831">
              <w:rPr>
                <w:rFonts w:cs="Arial"/>
                <w:b/>
              </w:rPr>
              <w:lastRenderedPageBreak/>
              <w:t xml:space="preserve">Activity </w:t>
            </w:r>
            <w:r>
              <w:rPr>
                <w:rFonts w:cs="Arial"/>
                <w:b/>
              </w:rPr>
              <w:t>2 Title</w:t>
            </w:r>
            <w:r w:rsidRPr="00EB5831">
              <w:rPr>
                <w:rFonts w:cs="Arial"/>
                <w:b/>
              </w:rPr>
              <w:t>:</w:t>
            </w:r>
            <w:r>
              <w:rPr>
                <w:rFonts w:cs="Arial"/>
                <w:b/>
              </w:rPr>
              <w:t xml:space="preserve"> </w:t>
            </w:r>
            <w:r w:rsidR="00CF506C" w:rsidRPr="0022035A">
              <w:rPr>
                <w:rFonts w:cs="Arial"/>
              </w:rPr>
              <w:t xml:space="preserve">Assess </w:t>
            </w:r>
            <w:r w:rsidR="0022035A" w:rsidRPr="0022035A">
              <w:rPr>
                <w:rFonts w:cs="Arial"/>
              </w:rPr>
              <w:t>high lignin coating impact on soils</w:t>
            </w:r>
            <w:r w:rsidR="0022035A" w:rsidRPr="005C22D1">
              <w:rPr>
                <w:rFonts w:cs="Arial"/>
              </w:rPr>
              <w:t xml:space="preserve"> </w:t>
            </w:r>
            <w:r w:rsidR="005C22D1" w:rsidRPr="005C22D1">
              <w:rPr>
                <w:rFonts w:cs="Arial"/>
              </w:rPr>
              <w:t xml:space="preserve">in greenhouse </w:t>
            </w:r>
          </w:p>
          <w:p w14:paraId="06B8529B" w14:textId="77777777" w:rsidR="00424B38" w:rsidRDefault="00424B38" w:rsidP="00B6606B">
            <w:pPr>
              <w:widowControl w:val="0"/>
              <w:rPr>
                <w:rFonts w:cs="Arial"/>
                <w:i/>
              </w:rPr>
            </w:pPr>
            <w:r>
              <w:rPr>
                <w:rFonts w:cs="Arial"/>
                <w:b/>
              </w:rPr>
              <w:t>Description:</w:t>
            </w:r>
            <w:r w:rsidRPr="00EB5831">
              <w:rPr>
                <w:rFonts w:cs="Arial"/>
                <w:i/>
              </w:rPr>
              <w:t xml:space="preserve"> </w:t>
            </w:r>
            <w:r w:rsidR="00066479">
              <w:rPr>
                <w:rFonts w:cs="Arial"/>
                <w:i/>
              </w:rPr>
              <w:t>A replicated</w:t>
            </w:r>
            <w:r w:rsidR="007775AE">
              <w:rPr>
                <w:rFonts w:cs="Arial"/>
                <w:i/>
              </w:rPr>
              <w:t xml:space="preserve"> (4 </w:t>
            </w:r>
            <w:r w:rsidR="00E361A2">
              <w:rPr>
                <w:rFonts w:cs="Arial"/>
                <w:i/>
              </w:rPr>
              <w:t>x</w:t>
            </w:r>
            <w:r w:rsidR="007775AE">
              <w:rPr>
                <w:rFonts w:cs="Arial"/>
                <w:i/>
              </w:rPr>
              <w:t xml:space="preserve">) and repeated (2X) </w:t>
            </w:r>
            <w:r w:rsidR="00066479">
              <w:rPr>
                <w:rFonts w:cs="Arial"/>
                <w:i/>
              </w:rPr>
              <w:t xml:space="preserve">greenhouse experiment will assess the </w:t>
            </w:r>
            <w:r w:rsidR="002C2A0B">
              <w:rPr>
                <w:rFonts w:cs="Arial"/>
                <w:i/>
              </w:rPr>
              <w:t xml:space="preserve">ability </w:t>
            </w:r>
            <w:r w:rsidR="00066479">
              <w:rPr>
                <w:rFonts w:cs="Arial"/>
                <w:i/>
              </w:rPr>
              <w:t>of lignin-coated fertilizer to provide P to agronomic an agronomic crop(s</w:t>
            </w:r>
            <w:r w:rsidR="007775AE">
              <w:rPr>
                <w:rFonts w:cs="Arial"/>
                <w:i/>
              </w:rPr>
              <w:t>) as indicated by plant biomass accumulation at 30 days after planting</w:t>
            </w:r>
            <w:r w:rsidR="00066479">
              <w:rPr>
                <w:rFonts w:cs="Arial"/>
                <w:i/>
              </w:rPr>
              <w:t xml:space="preserve">.  </w:t>
            </w:r>
            <w:r w:rsidR="007775AE">
              <w:rPr>
                <w:rFonts w:cs="Arial"/>
                <w:i/>
              </w:rPr>
              <w:t xml:space="preserve">At the end of the study the amount of extractable P in the soil will be determined. </w:t>
            </w:r>
          </w:p>
          <w:p w14:paraId="5347071C" w14:textId="7534A686" w:rsidR="00424B38" w:rsidRPr="008B3693" w:rsidRDefault="00424B38" w:rsidP="00B6606B">
            <w:pPr>
              <w:autoSpaceDE w:val="0"/>
              <w:autoSpaceDN w:val="0"/>
              <w:adjustRightInd w:val="0"/>
              <w:rPr>
                <w:rFonts w:cs="Arial"/>
                <w:b/>
                <w:bCs/>
                <w:color w:val="000000"/>
              </w:rPr>
            </w:pPr>
            <w:r>
              <w:rPr>
                <w:rFonts w:cs="Arial"/>
                <w:b/>
                <w:bCs/>
                <w:color w:val="000000"/>
              </w:rPr>
              <w:t>ENRTF BUDGET: $</w:t>
            </w:r>
            <w:r w:rsidR="007F720F">
              <w:rPr>
                <w:rFonts w:cs="Arial"/>
                <w:b/>
                <w:bCs/>
                <w:color w:val="000000"/>
              </w:rPr>
              <w:t>54,015</w:t>
            </w:r>
          </w:p>
        </w:tc>
        <w:tc>
          <w:tcPr>
            <w:tcW w:w="2268" w:type="dxa"/>
          </w:tcPr>
          <w:p w14:paraId="66E88DDE" w14:textId="77777777" w:rsidR="00424B38" w:rsidRPr="00EB5831" w:rsidRDefault="00424B38" w:rsidP="00B6606B">
            <w:pPr>
              <w:rPr>
                <w:rFonts w:cs="Arial"/>
              </w:rPr>
            </w:pPr>
          </w:p>
        </w:tc>
      </w:tr>
      <w:tr w:rsidR="00424B38" w:rsidRPr="009D6EC8" w14:paraId="5B563084" w14:textId="77777777" w:rsidTr="00917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53" w:type="dxa"/>
        </w:trPr>
        <w:tc>
          <w:tcPr>
            <w:tcW w:w="8284" w:type="dxa"/>
          </w:tcPr>
          <w:p w14:paraId="17CD4DED" w14:textId="77777777" w:rsidR="00424B38" w:rsidRPr="009D6EC8" w:rsidRDefault="00424B38" w:rsidP="00B6606B">
            <w:pPr>
              <w:rPr>
                <w:rFonts w:cs="Arial"/>
                <w:b/>
              </w:rPr>
            </w:pPr>
            <w:r w:rsidRPr="009D6EC8">
              <w:rPr>
                <w:rFonts w:cs="Arial"/>
                <w:b/>
              </w:rPr>
              <w:t>Outcome</w:t>
            </w:r>
          </w:p>
        </w:tc>
        <w:tc>
          <w:tcPr>
            <w:tcW w:w="1786" w:type="dxa"/>
          </w:tcPr>
          <w:p w14:paraId="3A334120" w14:textId="77777777" w:rsidR="00424B38" w:rsidRPr="009D6EC8" w:rsidRDefault="00424B38" w:rsidP="00B6606B">
            <w:pPr>
              <w:jc w:val="center"/>
              <w:rPr>
                <w:rFonts w:cs="Arial"/>
                <w:b/>
              </w:rPr>
            </w:pPr>
            <w:r w:rsidRPr="009D6EC8">
              <w:rPr>
                <w:rFonts w:cs="Arial"/>
                <w:b/>
              </w:rPr>
              <w:t>Completion Date</w:t>
            </w:r>
          </w:p>
        </w:tc>
      </w:tr>
      <w:tr w:rsidR="00424B38" w:rsidRPr="009D6EC8" w14:paraId="51D6426A" w14:textId="77777777" w:rsidTr="00917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53" w:type="dxa"/>
        </w:trPr>
        <w:tc>
          <w:tcPr>
            <w:tcW w:w="8284" w:type="dxa"/>
          </w:tcPr>
          <w:p w14:paraId="14902FD7" w14:textId="77777777" w:rsidR="00424B38" w:rsidRPr="009D6EC8" w:rsidRDefault="00424B38" w:rsidP="00B6606B">
            <w:pPr>
              <w:rPr>
                <w:rFonts w:cs="Arial"/>
                <w:i/>
              </w:rPr>
            </w:pPr>
            <w:r w:rsidRPr="009D6EC8">
              <w:rPr>
                <w:rFonts w:cs="Arial"/>
                <w:i/>
              </w:rPr>
              <w:t xml:space="preserve">1.  </w:t>
            </w:r>
            <w:r w:rsidR="007775AE">
              <w:rPr>
                <w:rFonts w:cs="Arial"/>
                <w:i/>
              </w:rPr>
              <w:t xml:space="preserve">Greenhouse testing of lignin coated fertilizer </w:t>
            </w:r>
          </w:p>
        </w:tc>
        <w:tc>
          <w:tcPr>
            <w:tcW w:w="1786" w:type="dxa"/>
          </w:tcPr>
          <w:p w14:paraId="7A88168E" w14:textId="77777777" w:rsidR="00424B38" w:rsidRPr="009D6EC8" w:rsidRDefault="007775AE" w:rsidP="00B6606B">
            <w:pPr>
              <w:rPr>
                <w:rFonts w:cs="Arial"/>
                <w:i/>
              </w:rPr>
            </w:pPr>
            <w:r>
              <w:rPr>
                <w:rFonts w:cs="Arial"/>
                <w:i/>
              </w:rPr>
              <w:t>April 2021</w:t>
            </w:r>
          </w:p>
        </w:tc>
      </w:tr>
      <w:tr w:rsidR="00424B38" w:rsidRPr="009D6EC8" w14:paraId="1B832334" w14:textId="77777777" w:rsidTr="00917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53" w:type="dxa"/>
        </w:trPr>
        <w:tc>
          <w:tcPr>
            <w:tcW w:w="8284" w:type="dxa"/>
          </w:tcPr>
          <w:p w14:paraId="23BECE07" w14:textId="77777777" w:rsidR="00424B38" w:rsidRPr="009D6EC8" w:rsidRDefault="00424B38" w:rsidP="00B6606B">
            <w:pPr>
              <w:rPr>
                <w:rFonts w:cs="Arial"/>
                <w:i/>
              </w:rPr>
            </w:pPr>
            <w:r w:rsidRPr="009D6EC8">
              <w:rPr>
                <w:rFonts w:cs="Arial"/>
                <w:i/>
              </w:rPr>
              <w:t xml:space="preserve">2.  </w:t>
            </w:r>
            <w:r w:rsidR="007775AE">
              <w:rPr>
                <w:rFonts w:cs="Arial"/>
                <w:i/>
              </w:rPr>
              <w:t>Chemical analysis of extractable phosphorus from greenhouse study</w:t>
            </w:r>
          </w:p>
        </w:tc>
        <w:tc>
          <w:tcPr>
            <w:tcW w:w="1786" w:type="dxa"/>
          </w:tcPr>
          <w:p w14:paraId="69F29D22" w14:textId="77777777" w:rsidR="00424B38" w:rsidRPr="009D6EC8" w:rsidRDefault="007775AE" w:rsidP="00B6606B">
            <w:pPr>
              <w:rPr>
                <w:rFonts w:cs="Arial"/>
                <w:i/>
              </w:rPr>
            </w:pPr>
            <w:r>
              <w:rPr>
                <w:rFonts w:cs="Arial"/>
                <w:i/>
              </w:rPr>
              <w:t>July 2021</w:t>
            </w:r>
          </w:p>
        </w:tc>
      </w:tr>
    </w:tbl>
    <w:p w14:paraId="10EA536A" w14:textId="77777777" w:rsidR="00C02DAD" w:rsidRDefault="00C02DAD" w:rsidP="005431D4">
      <w:pPr>
        <w:tabs>
          <w:tab w:val="left" w:pos="540"/>
        </w:tabs>
        <w:autoSpaceDE w:val="0"/>
        <w:autoSpaceDN w:val="0"/>
        <w:adjustRightInd w:val="0"/>
        <w:rPr>
          <w:rFonts w:cs="Arial"/>
          <w:i/>
        </w:rPr>
      </w:pPr>
    </w:p>
    <w:tbl>
      <w:tblPr>
        <w:tblW w:w="11925" w:type="dxa"/>
        <w:tblLook w:val="04A0" w:firstRow="1" w:lastRow="0" w:firstColumn="1" w:lastColumn="0" w:noHBand="0" w:noVBand="1"/>
      </w:tblPr>
      <w:tblGrid>
        <w:gridCol w:w="8280"/>
        <w:gridCol w:w="1890"/>
        <w:gridCol w:w="88"/>
        <w:gridCol w:w="1667"/>
      </w:tblGrid>
      <w:tr w:rsidR="0001392E" w:rsidRPr="00EB5831" w14:paraId="0B659C5E" w14:textId="77777777" w:rsidTr="00A51713">
        <w:tc>
          <w:tcPr>
            <w:tcW w:w="10170" w:type="dxa"/>
            <w:gridSpan w:val="2"/>
          </w:tcPr>
          <w:p w14:paraId="088ED4F7" w14:textId="77777777" w:rsidR="00424B38" w:rsidRPr="00C51671" w:rsidRDefault="00424B38" w:rsidP="00B6606B">
            <w:pPr>
              <w:widowControl w:val="0"/>
              <w:rPr>
                <w:rFonts w:cs="Arial"/>
              </w:rPr>
            </w:pPr>
            <w:r w:rsidRPr="00EB5831">
              <w:rPr>
                <w:rFonts w:cs="Arial"/>
                <w:b/>
              </w:rPr>
              <w:t xml:space="preserve">Activity </w:t>
            </w:r>
            <w:r w:rsidR="005B7A0B">
              <w:rPr>
                <w:rFonts w:cs="Arial"/>
                <w:b/>
              </w:rPr>
              <w:t>3</w:t>
            </w:r>
            <w:r>
              <w:rPr>
                <w:rFonts w:cs="Arial"/>
                <w:b/>
              </w:rPr>
              <w:t xml:space="preserve"> Title</w:t>
            </w:r>
            <w:r w:rsidRPr="00EB5831">
              <w:rPr>
                <w:rFonts w:cs="Arial"/>
                <w:b/>
              </w:rPr>
              <w:t>:</w:t>
            </w:r>
            <w:r>
              <w:rPr>
                <w:rFonts w:cs="Arial"/>
                <w:b/>
              </w:rPr>
              <w:t xml:space="preserve"> </w:t>
            </w:r>
            <w:r w:rsidR="001812E4" w:rsidRPr="001812E4">
              <w:rPr>
                <w:rFonts w:cs="Arial"/>
              </w:rPr>
              <w:t>Replicated field trials</w:t>
            </w:r>
            <w:r w:rsidR="001812E4">
              <w:rPr>
                <w:rFonts w:cs="Arial"/>
                <w:b/>
              </w:rPr>
              <w:t xml:space="preserve"> </w:t>
            </w:r>
            <w:r w:rsidR="0022035A">
              <w:rPr>
                <w:rFonts w:cs="Arial"/>
              </w:rPr>
              <w:t xml:space="preserve">of </w:t>
            </w:r>
            <w:r w:rsidR="005C22D1">
              <w:rPr>
                <w:rFonts w:cs="Arial"/>
              </w:rPr>
              <w:t>lignin</w:t>
            </w:r>
            <w:r w:rsidR="00E22CFD">
              <w:rPr>
                <w:rFonts w:cs="Arial"/>
              </w:rPr>
              <w:t>-coated</w:t>
            </w:r>
            <w:r w:rsidR="007775AE">
              <w:rPr>
                <w:rFonts w:cs="Arial"/>
              </w:rPr>
              <w:t xml:space="preserve"> fertilizer</w:t>
            </w:r>
            <w:r w:rsidR="00E22CFD">
              <w:rPr>
                <w:rFonts w:cs="Arial"/>
              </w:rPr>
              <w:t xml:space="preserve"> </w:t>
            </w:r>
          </w:p>
          <w:p w14:paraId="6A8CB7D5" w14:textId="77777777" w:rsidR="00424B38" w:rsidRDefault="00424B38" w:rsidP="00B6606B">
            <w:pPr>
              <w:widowControl w:val="0"/>
              <w:rPr>
                <w:rFonts w:cs="Arial"/>
                <w:i/>
              </w:rPr>
            </w:pPr>
            <w:r>
              <w:rPr>
                <w:rFonts w:cs="Arial"/>
                <w:b/>
              </w:rPr>
              <w:t>Description:</w:t>
            </w:r>
            <w:r w:rsidRPr="00EB5831">
              <w:rPr>
                <w:rFonts w:cs="Arial"/>
                <w:i/>
              </w:rPr>
              <w:t xml:space="preserve"> </w:t>
            </w:r>
            <w:r w:rsidR="00B62267">
              <w:rPr>
                <w:rFonts w:cs="Arial"/>
                <w:i/>
              </w:rPr>
              <w:t>Replicated plot-scale field testing will assess agronomic crop</w:t>
            </w:r>
            <w:r w:rsidR="002C2A0B">
              <w:rPr>
                <w:rFonts w:cs="Arial"/>
                <w:i/>
              </w:rPr>
              <w:t xml:space="preserve"> (s), wheat or corn</w:t>
            </w:r>
            <w:r w:rsidR="00B62267">
              <w:rPr>
                <w:rFonts w:cs="Arial"/>
                <w:i/>
              </w:rPr>
              <w:t xml:space="preserve"> response to incorporated lignin coated P fertilizer.  The study will be repeat in space (at least 3-locations).  Crop biomass and yield will serve as plant response indicators.  Soil samples will be collected at two depth increments (0-15; 15-30 cm) at the end of the and assessed for extractable P. </w:t>
            </w:r>
          </w:p>
          <w:p w14:paraId="37B40D68" w14:textId="7FE5528B" w:rsidR="00424B38" w:rsidRPr="008B3693" w:rsidRDefault="00424B38" w:rsidP="00B6606B">
            <w:pPr>
              <w:autoSpaceDE w:val="0"/>
              <w:autoSpaceDN w:val="0"/>
              <w:adjustRightInd w:val="0"/>
              <w:rPr>
                <w:rFonts w:cs="Arial"/>
                <w:b/>
                <w:bCs/>
                <w:color w:val="000000"/>
              </w:rPr>
            </w:pPr>
            <w:r>
              <w:rPr>
                <w:rFonts w:cs="Arial"/>
                <w:b/>
                <w:bCs/>
                <w:color w:val="000000"/>
              </w:rPr>
              <w:t>ENRTF BUDGET: $</w:t>
            </w:r>
            <w:r w:rsidR="007F720F">
              <w:rPr>
                <w:rFonts w:cs="Arial"/>
                <w:b/>
                <w:bCs/>
                <w:color w:val="000000"/>
              </w:rPr>
              <w:t>79,428</w:t>
            </w:r>
          </w:p>
        </w:tc>
        <w:tc>
          <w:tcPr>
            <w:tcW w:w="1755" w:type="dxa"/>
            <w:gridSpan w:val="2"/>
          </w:tcPr>
          <w:p w14:paraId="11733284" w14:textId="77777777" w:rsidR="00424B38" w:rsidRPr="00EB5831" w:rsidRDefault="00424B38" w:rsidP="00B6606B">
            <w:pPr>
              <w:rPr>
                <w:rFonts w:cs="Arial"/>
              </w:rPr>
            </w:pPr>
          </w:p>
        </w:tc>
      </w:tr>
      <w:tr w:rsidR="0001392E" w:rsidRPr="009D6EC8" w14:paraId="6AFF7E36" w14:textId="77777777" w:rsidTr="00A5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67" w:type="dxa"/>
        </w:trPr>
        <w:tc>
          <w:tcPr>
            <w:tcW w:w="8280" w:type="dxa"/>
          </w:tcPr>
          <w:p w14:paraId="542C6E48" w14:textId="77777777" w:rsidR="00424B38" w:rsidRPr="009D6EC8" w:rsidRDefault="00424B38" w:rsidP="00B6606B">
            <w:pPr>
              <w:rPr>
                <w:rFonts w:cs="Arial"/>
                <w:b/>
              </w:rPr>
            </w:pPr>
            <w:r w:rsidRPr="009D6EC8">
              <w:rPr>
                <w:rFonts w:cs="Arial"/>
                <w:b/>
              </w:rPr>
              <w:t>Outcome</w:t>
            </w:r>
          </w:p>
        </w:tc>
        <w:tc>
          <w:tcPr>
            <w:tcW w:w="1978" w:type="dxa"/>
            <w:gridSpan w:val="2"/>
          </w:tcPr>
          <w:p w14:paraId="478F9978" w14:textId="77777777" w:rsidR="00424B38" w:rsidRPr="009D6EC8" w:rsidRDefault="00424B38" w:rsidP="00B6606B">
            <w:pPr>
              <w:jc w:val="center"/>
              <w:rPr>
                <w:rFonts w:cs="Arial"/>
                <w:b/>
              </w:rPr>
            </w:pPr>
            <w:r w:rsidRPr="009D6EC8">
              <w:rPr>
                <w:rFonts w:cs="Arial"/>
                <w:b/>
              </w:rPr>
              <w:t>Completion Date</w:t>
            </w:r>
          </w:p>
        </w:tc>
      </w:tr>
      <w:tr w:rsidR="0001392E" w:rsidRPr="009D6EC8" w14:paraId="4C867D0A" w14:textId="77777777" w:rsidTr="00A5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67" w:type="dxa"/>
        </w:trPr>
        <w:tc>
          <w:tcPr>
            <w:tcW w:w="8280" w:type="dxa"/>
          </w:tcPr>
          <w:p w14:paraId="6699D3DA" w14:textId="77777777" w:rsidR="00424B38" w:rsidRPr="009D6EC8" w:rsidRDefault="00424B38" w:rsidP="00B6606B">
            <w:pPr>
              <w:rPr>
                <w:rFonts w:cs="Arial"/>
                <w:i/>
              </w:rPr>
            </w:pPr>
            <w:r w:rsidRPr="009D6EC8">
              <w:rPr>
                <w:rFonts w:cs="Arial"/>
                <w:i/>
              </w:rPr>
              <w:t xml:space="preserve">1.  </w:t>
            </w:r>
            <w:r w:rsidR="002C2A0B">
              <w:rPr>
                <w:rFonts w:cs="Arial"/>
                <w:i/>
              </w:rPr>
              <w:t>P</w:t>
            </w:r>
            <w:r w:rsidR="00B62267">
              <w:rPr>
                <w:rFonts w:cs="Arial"/>
                <w:i/>
              </w:rPr>
              <w:t xml:space="preserve">lot-scale field testing </w:t>
            </w:r>
            <w:r w:rsidR="002C2A0B">
              <w:rPr>
                <w:rFonts w:cs="Arial"/>
                <w:i/>
              </w:rPr>
              <w:t xml:space="preserve">to </w:t>
            </w:r>
            <w:r w:rsidR="00B62267">
              <w:rPr>
                <w:rFonts w:cs="Arial"/>
                <w:i/>
              </w:rPr>
              <w:t>assess agronomic crop</w:t>
            </w:r>
            <w:r w:rsidR="002C2A0B">
              <w:rPr>
                <w:rFonts w:cs="Arial"/>
                <w:i/>
              </w:rPr>
              <w:t xml:space="preserve"> response</w:t>
            </w:r>
          </w:p>
        </w:tc>
        <w:tc>
          <w:tcPr>
            <w:tcW w:w="1978" w:type="dxa"/>
            <w:gridSpan w:val="2"/>
          </w:tcPr>
          <w:p w14:paraId="36614450" w14:textId="77777777" w:rsidR="00424B38" w:rsidRPr="009D6EC8" w:rsidRDefault="002C2A0B" w:rsidP="00B6606B">
            <w:pPr>
              <w:rPr>
                <w:rFonts w:cs="Arial"/>
                <w:i/>
              </w:rPr>
            </w:pPr>
            <w:r>
              <w:rPr>
                <w:rFonts w:cs="Arial"/>
                <w:i/>
              </w:rPr>
              <w:t>August 2021</w:t>
            </w:r>
          </w:p>
        </w:tc>
      </w:tr>
      <w:tr w:rsidR="0001392E" w:rsidRPr="009D6EC8" w14:paraId="5F917499" w14:textId="77777777" w:rsidTr="00A5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67" w:type="dxa"/>
        </w:trPr>
        <w:tc>
          <w:tcPr>
            <w:tcW w:w="8280" w:type="dxa"/>
          </w:tcPr>
          <w:p w14:paraId="5E77C983" w14:textId="77777777" w:rsidR="00424B38" w:rsidRPr="009D6EC8" w:rsidRDefault="00424B38" w:rsidP="00B6606B">
            <w:pPr>
              <w:rPr>
                <w:rFonts w:cs="Arial"/>
                <w:i/>
              </w:rPr>
            </w:pPr>
            <w:r w:rsidRPr="009D6EC8">
              <w:rPr>
                <w:rFonts w:cs="Arial"/>
                <w:i/>
              </w:rPr>
              <w:t xml:space="preserve">2.  </w:t>
            </w:r>
            <w:r w:rsidR="002C2A0B">
              <w:rPr>
                <w:rFonts w:cs="Arial"/>
                <w:i/>
              </w:rPr>
              <w:t>S</w:t>
            </w:r>
            <w:r w:rsidR="00B62267">
              <w:rPr>
                <w:rFonts w:cs="Arial"/>
                <w:i/>
              </w:rPr>
              <w:t xml:space="preserve">oil sampling and processing </w:t>
            </w:r>
          </w:p>
        </w:tc>
        <w:tc>
          <w:tcPr>
            <w:tcW w:w="1978" w:type="dxa"/>
            <w:gridSpan w:val="2"/>
          </w:tcPr>
          <w:p w14:paraId="347AA179" w14:textId="77777777" w:rsidR="00424B38" w:rsidRPr="009D6EC8" w:rsidRDefault="002C2A0B" w:rsidP="00B6606B">
            <w:pPr>
              <w:rPr>
                <w:rFonts w:cs="Arial"/>
                <w:i/>
              </w:rPr>
            </w:pPr>
            <w:r>
              <w:rPr>
                <w:rFonts w:cs="Arial"/>
                <w:i/>
              </w:rPr>
              <w:t>October 2021</w:t>
            </w:r>
          </w:p>
        </w:tc>
      </w:tr>
      <w:tr w:rsidR="0001392E" w:rsidRPr="009D6EC8" w14:paraId="41D66C3B" w14:textId="77777777" w:rsidTr="00A517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67" w:type="dxa"/>
        </w:trPr>
        <w:tc>
          <w:tcPr>
            <w:tcW w:w="8280" w:type="dxa"/>
          </w:tcPr>
          <w:p w14:paraId="6A330305" w14:textId="77777777" w:rsidR="00424B38" w:rsidRPr="009D6EC8" w:rsidRDefault="00424B38" w:rsidP="00B6606B">
            <w:pPr>
              <w:rPr>
                <w:rFonts w:cs="Arial"/>
                <w:i/>
              </w:rPr>
            </w:pPr>
            <w:r w:rsidRPr="009D6EC8">
              <w:rPr>
                <w:rFonts w:cs="Arial"/>
                <w:i/>
              </w:rPr>
              <w:t xml:space="preserve">3.  </w:t>
            </w:r>
            <w:r w:rsidR="00B62267">
              <w:rPr>
                <w:rFonts w:cs="Arial"/>
                <w:i/>
              </w:rPr>
              <w:t xml:space="preserve">Extractable phosphorus determination. </w:t>
            </w:r>
          </w:p>
        </w:tc>
        <w:tc>
          <w:tcPr>
            <w:tcW w:w="1978" w:type="dxa"/>
            <w:gridSpan w:val="2"/>
          </w:tcPr>
          <w:p w14:paraId="4207D72B" w14:textId="77777777" w:rsidR="00424B38" w:rsidRPr="009D6EC8" w:rsidRDefault="002C2A0B" w:rsidP="00B6606B">
            <w:pPr>
              <w:rPr>
                <w:rFonts w:cs="Arial"/>
                <w:i/>
              </w:rPr>
            </w:pPr>
            <w:r>
              <w:rPr>
                <w:rFonts w:cs="Arial"/>
                <w:i/>
              </w:rPr>
              <w:t>December 2021</w:t>
            </w:r>
          </w:p>
        </w:tc>
      </w:tr>
    </w:tbl>
    <w:p w14:paraId="5A02E494" w14:textId="77777777" w:rsidR="00424B38" w:rsidRDefault="00424B38" w:rsidP="005431D4">
      <w:pPr>
        <w:tabs>
          <w:tab w:val="left" w:pos="540"/>
        </w:tabs>
        <w:autoSpaceDE w:val="0"/>
        <w:autoSpaceDN w:val="0"/>
        <w:adjustRightInd w:val="0"/>
        <w:rPr>
          <w:rFonts w:cs="Arial"/>
          <w:i/>
        </w:rPr>
      </w:pPr>
    </w:p>
    <w:p w14:paraId="3C07F71B"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89F8B85" w14:textId="77777777" w:rsidR="00360CCF" w:rsidRPr="00157A46" w:rsidRDefault="00360CCF" w:rsidP="00360CCF">
      <w:pPr>
        <w:pStyle w:val="Bodycopy"/>
        <w:spacing w:before="0"/>
        <w:rPr>
          <w:rFonts w:ascii="Calibri" w:hAnsi="Calibri" w:cs="Arial"/>
          <w:b/>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Look w:val="04A0" w:firstRow="1" w:lastRow="0" w:firstColumn="1" w:lastColumn="0" w:noHBand="0" w:noVBand="1"/>
      </w:tblPr>
      <w:tblGrid>
        <w:gridCol w:w="2508"/>
        <w:gridCol w:w="2516"/>
        <w:gridCol w:w="2556"/>
        <w:gridCol w:w="2490"/>
      </w:tblGrid>
      <w:tr w:rsidR="00360CCF" w14:paraId="794BE311" w14:textId="77777777" w:rsidTr="00166135">
        <w:tc>
          <w:tcPr>
            <w:tcW w:w="2697" w:type="dxa"/>
          </w:tcPr>
          <w:p w14:paraId="3BB83672"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Name</w:t>
            </w:r>
          </w:p>
        </w:tc>
        <w:tc>
          <w:tcPr>
            <w:tcW w:w="2697" w:type="dxa"/>
          </w:tcPr>
          <w:p w14:paraId="250D980B"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Title</w:t>
            </w:r>
          </w:p>
        </w:tc>
        <w:tc>
          <w:tcPr>
            <w:tcW w:w="2697" w:type="dxa"/>
          </w:tcPr>
          <w:p w14:paraId="158EB5AA"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Affiliation</w:t>
            </w:r>
          </w:p>
        </w:tc>
        <w:tc>
          <w:tcPr>
            <w:tcW w:w="2698" w:type="dxa"/>
          </w:tcPr>
          <w:p w14:paraId="1EDC022B"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Role</w:t>
            </w:r>
          </w:p>
        </w:tc>
      </w:tr>
      <w:tr w:rsidR="00360CCF" w14:paraId="4B2C6F49" w14:textId="77777777" w:rsidTr="00166135">
        <w:tc>
          <w:tcPr>
            <w:tcW w:w="2697" w:type="dxa"/>
          </w:tcPr>
          <w:p w14:paraId="6F52ECE6" w14:textId="77777777" w:rsidR="00360CCF" w:rsidRPr="00463757" w:rsidRDefault="00360CCF" w:rsidP="00166135">
            <w:pPr>
              <w:pStyle w:val="Bodycopy"/>
              <w:spacing w:before="0"/>
              <w:rPr>
                <w:rFonts w:ascii="Calibri" w:hAnsi="Calibri" w:cs="Arial"/>
                <w:noProof/>
                <w:color w:val="auto"/>
                <w:sz w:val="22"/>
                <w:szCs w:val="22"/>
              </w:rPr>
            </w:pPr>
            <w:r>
              <w:rPr>
                <w:rFonts w:ascii="Calibri" w:hAnsi="Calibri" w:cs="Arial"/>
                <w:noProof/>
                <w:color w:val="auto"/>
                <w:sz w:val="22"/>
                <w:szCs w:val="22"/>
              </w:rPr>
              <w:t>Jane Johnson</w:t>
            </w:r>
          </w:p>
        </w:tc>
        <w:tc>
          <w:tcPr>
            <w:tcW w:w="2697" w:type="dxa"/>
          </w:tcPr>
          <w:p w14:paraId="5B5718C8" w14:textId="77777777" w:rsidR="00360CCF" w:rsidRPr="00463757" w:rsidRDefault="00360CCF" w:rsidP="00166135">
            <w:pPr>
              <w:pStyle w:val="Bodycopy"/>
              <w:spacing w:before="0"/>
              <w:rPr>
                <w:rFonts w:ascii="Calibri" w:hAnsi="Calibri" w:cs="Arial"/>
                <w:noProof/>
                <w:color w:val="auto"/>
                <w:sz w:val="22"/>
                <w:szCs w:val="22"/>
              </w:rPr>
            </w:pPr>
            <w:r>
              <w:rPr>
                <w:rFonts w:ascii="Calibri" w:hAnsi="Calibri" w:cs="Arial"/>
                <w:noProof/>
                <w:color w:val="auto"/>
                <w:sz w:val="22"/>
                <w:szCs w:val="22"/>
              </w:rPr>
              <w:t>Research Soil Scientist</w:t>
            </w:r>
          </w:p>
        </w:tc>
        <w:tc>
          <w:tcPr>
            <w:tcW w:w="2697" w:type="dxa"/>
          </w:tcPr>
          <w:p w14:paraId="375E99C8" w14:textId="77777777" w:rsidR="00360CCF" w:rsidRPr="00463757" w:rsidRDefault="00360CCF" w:rsidP="00166135">
            <w:pPr>
              <w:pStyle w:val="Bodycopy"/>
              <w:spacing w:before="0"/>
              <w:rPr>
                <w:rFonts w:ascii="Calibri" w:hAnsi="Calibri" w:cs="Arial"/>
                <w:noProof/>
                <w:color w:val="auto"/>
                <w:sz w:val="22"/>
                <w:szCs w:val="22"/>
              </w:rPr>
            </w:pPr>
            <w:r>
              <w:rPr>
                <w:rFonts w:ascii="Calibri" w:hAnsi="Calibri" w:cs="Arial"/>
                <w:noProof/>
                <w:color w:val="auto"/>
                <w:sz w:val="22"/>
                <w:szCs w:val="22"/>
              </w:rPr>
              <w:t xml:space="preserve">USDA-ARS </w:t>
            </w:r>
            <w:r w:rsidRPr="00360CCF">
              <w:rPr>
                <w:rFonts w:ascii="Calibri" w:hAnsi="Calibri" w:cs="Arial"/>
                <w:noProof/>
                <w:color w:val="auto"/>
                <w:sz w:val="22"/>
                <w:szCs w:val="22"/>
              </w:rPr>
              <w:t>North Central Soil Conservation Research Laboratory</w:t>
            </w:r>
          </w:p>
        </w:tc>
        <w:tc>
          <w:tcPr>
            <w:tcW w:w="2698" w:type="dxa"/>
          </w:tcPr>
          <w:p w14:paraId="433E616D" w14:textId="77777777" w:rsidR="00360CCF" w:rsidRPr="00463757" w:rsidRDefault="00360CCF" w:rsidP="00166135">
            <w:pPr>
              <w:pStyle w:val="Bodycopy"/>
              <w:spacing w:before="0"/>
              <w:rPr>
                <w:rFonts w:ascii="Calibri" w:hAnsi="Calibri" w:cs="Arial"/>
                <w:noProof/>
                <w:color w:val="auto"/>
                <w:sz w:val="22"/>
                <w:szCs w:val="22"/>
              </w:rPr>
            </w:pPr>
            <w:r>
              <w:rPr>
                <w:rFonts w:ascii="Calibri" w:hAnsi="Calibri" w:cs="Arial"/>
                <w:noProof/>
                <w:color w:val="auto"/>
                <w:sz w:val="22"/>
                <w:szCs w:val="22"/>
              </w:rPr>
              <w:t>Field trial leader</w:t>
            </w:r>
          </w:p>
        </w:tc>
      </w:tr>
    </w:tbl>
    <w:p w14:paraId="1DC818A9" w14:textId="77777777" w:rsidR="00360CCF" w:rsidRPr="00157A46" w:rsidRDefault="00360CCF" w:rsidP="00360CCF">
      <w:pPr>
        <w:pStyle w:val="Bodycopy"/>
        <w:spacing w:before="0"/>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2493"/>
        <w:gridCol w:w="2506"/>
        <w:gridCol w:w="2530"/>
        <w:gridCol w:w="2541"/>
      </w:tblGrid>
      <w:tr w:rsidR="00360CCF" w14:paraId="7AE37C11" w14:textId="77777777" w:rsidTr="00166135">
        <w:tc>
          <w:tcPr>
            <w:tcW w:w="2697" w:type="dxa"/>
          </w:tcPr>
          <w:p w14:paraId="2066C17F"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Name</w:t>
            </w:r>
          </w:p>
        </w:tc>
        <w:tc>
          <w:tcPr>
            <w:tcW w:w="2697" w:type="dxa"/>
          </w:tcPr>
          <w:p w14:paraId="2119F52A"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Title</w:t>
            </w:r>
          </w:p>
        </w:tc>
        <w:tc>
          <w:tcPr>
            <w:tcW w:w="2697" w:type="dxa"/>
          </w:tcPr>
          <w:p w14:paraId="7BDEFF6E"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Affiliation</w:t>
            </w:r>
          </w:p>
        </w:tc>
        <w:tc>
          <w:tcPr>
            <w:tcW w:w="2698" w:type="dxa"/>
          </w:tcPr>
          <w:p w14:paraId="34FA217D" w14:textId="77777777" w:rsidR="00360CCF" w:rsidRDefault="00360CCF" w:rsidP="00166135">
            <w:pPr>
              <w:pStyle w:val="Bodycopy"/>
              <w:spacing w:before="0"/>
              <w:rPr>
                <w:rFonts w:ascii="Calibri" w:hAnsi="Calibri" w:cs="Arial"/>
                <w:b/>
                <w:noProof/>
                <w:color w:val="auto"/>
                <w:sz w:val="22"/>
                <w:szCs w:val="22"/>
              </w:rPr>
            </w:pPr>
            <w:r>
              <w:rPr>
                <w:rFonts w:ascii="Calibri" w:hAnsi="Calibri" w:cs="Arial"/>
                <w:b/>
                <w:noProof/>
                <w:color w:val="auto"/>
                <w:sz w:val="22"/>
                <w:szCs w:val="22"/>
              </w:rPr>
              <w:t>Role</w:t>
            </w:r>
          </w:p>
        </w:tc>
      </w:tr>
      <w:tr w:rsidR="00360CCF" w14:paraId="394C9E5B" w14:textId="77777777" w:rsidTr="00166135">
        <w:tc>
          <w:tcPr>
            <w:tcW w:w="2697" w:type="dxa"/>
          </w:tcPr>
          <w:p w14:paraId="041B9935" w14:textId="77777777" w:rsidR="00360CCF" w:rsidRPr="00463757" w:rsidRDefault="00360CCF" w:rsidP="00166135">
            <w:pPr>
              <w:pStyle w:val="Bodycopy"/>
              <w:spacing w:before="0"/>
              <w:rPr>
                <w:rFonts w:ascii="Calibri" w:hAnsi="Calibri" w:cs="Arial"/>
                <w:noProof/>
                <w:color w:val="auto"/>
                <w:sz w:val="22"/>
                <w:szCs w:val="22"/>
              </w:rPr>
            </w:pPr>
            <w:r>
              <w:rPr>
                <w:rFonts w:ascii="Calibri" w:hAnsi="Calibri" w:cs="Arial"/>
                <w:noProof/>
                <w:color w:val="auto"/>
                <w:sz w:val="22"/>
                <w:szCs w:val="22"/>
              </w:rPr>
              <w:t>Mike Riebel</w:t>
            </w:r>
          </w:p>
        </w:tc>
        <w:tc>
          <w:tcPr>
            <w:tcW w:w="2697" w:type="dxa"/>
          </w:tcPr>
          <w:p w14:paraId="31D131A3" w14:textId="77777777" w:rsidR="00360CCF" w:rsidRPr="00463757" w:rsidRDefault="00360CCF" w:rsidP="00166135">
            <w:pPr>
              <w:pStyle w:val="Bodycopy"/>
              <w:spacing w:before="0"/>
              <w:rPr>
                <w:rFonts w:ascii="Calibri" w:hAnsi="Calibri" w:cs="Arial"/>
                <w:noProof/>
                <w:color w:val="auto"/>
                <w:sz w:val="22"/>
                <w:szCs w:val="22"/>
              </w:rPr>
            </w:pPr>
            <w:r>
              <w:rPr>
                <w:rFonts w:ascii="Calibri" w:hAnsi="Calibri" w:cs="Arial"/>
                <w:noProof/>
                <w:color w:val="auto"/>
                <w:sz w:val="22"/>
                <w:szCs w:val="22"/>
              </w:rPr>
              <w:t>Vice President</w:t>
            </w:r>
          </w:p>
        </w:tc>
        <w:tc>
          <w:tcPr>
            <w:tcW w:w="2697" w:type="dxa"/>
          </w:tcPr>
          <w:p w14:paraId="416A1A93" w14:textId="77777777" w:rsidR="00360CCF" w:rsidRPr="00463757" w:rsidRDefault="00360CCF" w:rsidP="00166135">
            <w:pPr>
              <w:pStyle w:val="Bodycopy"/>
              <w:spacing w:before="0"/>
              <w:rPr>
                <w:rFonts w:ascii="Calibri" w:hAnsi="Calibri" w:cs="Arial"/>
                <w:noProof/>
                <w:color w:val="auto"/>
                <w:sz w:val="22"/>
                <w:szCs w:val="22"/>
              </w:rPr>
            </w:pPr>
            <w:r>
              <w:rPr>
                <w:rFonts w:ascii="Calibri" w:hAnsi="Calibri" w:cs="Arial"/>
                <w:noProof/>
                <w:color w:val="auto"/>
                <w:sz w:val="22"/>
                <w:szCs w:val="22"/>
              </w:rPr>
              <w:t>Attis Innovations</w:t>
            </w:r>
          </w:p>
        </w:tc>
        <w:tc>
          <w:tcPr>
            <w:tcW w:w="2698" w:type="dxa"/>
          </w:tcPr>
          <w:p w14:paraId="1E8A4382" w14:textId="77777777" w:rsidR="00360CCF" w:rsidRPr="00463757" w:rsidRDefault="00360CCF" w:rsidP="00166135">
            <w:pPr>
              <w:pStyle w:val="Bodycopy"/>
              <w:spacing w:before="0"/>
              <w:rPr>
                <w:rFonts w:ascii="Calibri" w:hAnsi="Calibri" w:cs="Arial"/>
                <w:noProof/>
                <w:color w:val="auto"/>
                <w:sz w:val="22"/>
                <w:szCs w:val="22"/>
              </w:rPr>
            </w:pPr>
            <w:r w:rsidRPr="00463757">
              <w:rPr>
                <w:rFonts w:ascii="Calibri" w:hAnsi="Calibri" w:cs="Arial"/>
                <w:noProof/>
                <w:color w:val="auto"/>
                <w:sz w:val="22"/>
                <w:szCs w:val="22"/>
              </w:rPr>
              <w:t>Consultation</w:t>
            </w:r>
          </w:p>
        </w:tc>
      </w:tr>
      <w:tr w:rsidR="0091776C" w14:paraId="3B27E8DD" w14:textId="77777777" w:rsidTr="00166135">
        <w:tc>
          <w:tcPr>
            <w:tcW w:w="2697" w:type="dxa"/>
          </w:tcPr>
          <w:p w14:paraId="4B63D184" w14:textId="77777777" w:rsidR="0091776C" w:rsidRDefault="0091776C" w:rsidP="00166135">
            <w:pPr>
              <w:pStyle w:val="Bodycopy"/>
              <w:spacing w:before="0"/>
              <w:rPr>
                <w:rFonts w:ascii="Calibri" w:hAnsi="Calibri" w:cs="Arial"/>
                <w:noProof/>
                <w:color w:val="auto"/>
                <w:sz w:val="22"/>
                <w:szCs w:val="22"/>
              </w:rPr>
            </w:pPr>
            <w:r>
              <w:rPr>
                <w:rFonts w:ascii="Calibri" w:hAnsi="Calibri" w:cs="Arial"/>
                <w:noProof/>
                <w:color w:val="auto"/>
                <w:sz w:val="22"/>
                <w:szCs w:val="22"/>
              </w:rPr>
              <w:t>Dr. Stéphan Barbe</w:t>
            </w:r>
          </w:p>
        </w:tc>
        <w:tc>
          <w:tcPr>
            <w:tcW w:w="2697" w:type="dxa"/>
          </w:tcPr>
          <w:p w14:paraId="4F69813B" w14:textId="77777777" w:rsidR="0091776C" w:rsidRDefault="0091776C" w:rsidP="00166135">
            <w:pPr>
              <w:pStyle w:val="Bodycopy"/>
              <w:spacing w:before="0"/>
              <w:rPr>
                <w:rFonts w:ascii="Calibri" w:hAnsi="Calibri" w:cs="Arial"/>
                <w:noProof/>
                <w:color w:val="auto"/>
                <w:sz w:val="22"/>
                <w:szCs w:val="22"/>
              </w:rPr>
            </w:pPr>
            <w:r>
              <w:rPr>
                <w:rFonts w:ascii="Calibri" w:hAnsi="Calibri" w:cs="Arial"/>
                <w:noProof/>
                <w:color w:val="auto"/>
                <w:sz w:val="22"/>
                <w:szCs w:val="22"/>
              </w:rPr>
              <w:t>Professor</w:t>
            </w:r>
          </w:p>
        </w:tc>
        <w:tc>
          <w:tcPr>
            <w:tcW w:w="2697" w:type="dxa"/>
          </w:tcPr>
          <w:p w14:paraId="1D8F8AD4" w14:textId="77777777" w:rsidR="0091776C" w:rsidRDefault="0091776C" w:rsidP="00166135">
            <w:pPr>
              <w:pStyle w:val="Bodycopy"/>
              <w:spacing w:before="0"/>
              <w:rPr>
                <w:rFonts w:ascii="Calibri" w:hAnsi="Calibri" w:cs="Arial"/>
                <w:noProof/>
                <w:color w:val="auto"/>
                <w:sz w:val="22"/>
                <w:szCs w:val="22"/>
              </w:rPr>
            </w:pPr>
            <w:r>
              <w:rPr>
                <w:rFonts w:ascii="Calibri" w:hAnsi="Calibri" w:cs="Arial"/>
                <w:noProof/>
                <w:color w:val="auto"/>
                <w:sz w:val="22"/>
                <w:szCs w:val="22"/>
              </w:rPr>
              <w:t>TH Köln</w:t>
            </w:r>
          </w:p>
        </w:tc>
        <w:tc>
          <w:tcPr>
            <w:tcW w:w="2698" w:type="dxa"/>
          </w:tcPr>
          <w:p w14:paraId="26CDAB0D" w14:textId="77777777" w:rsidR="0091776C" w:rsidRPr="00463757" w:rsidRDefault="0091776C" w:rsidP="00166135">
            <w:pPr>
              <w:pStyle w:val="Bodycopy"/>
              <w:spacing w:before="0"/>
              <w:rPr>
                <w:rFonts w:ascii="Calibri" w:hAnsi="Calibri" w:cs="Arial"/>
                <w:noProof/>
                <w:color w:val="auto"/>
                <w:sz w:val="22"/>
                <w:szCs w:val="22"/>
              </w:rPr>
            </w:pPr>
            <w:r>
              <w:rPr>
                <w:rFonts w:ascii="Calibri" w:hAnsi="Calibri" w:cs="Arial"/>
                <w:noProof/>
                <w:color w:val="auto"/>
                <w:sz w:val="22"/>
                <w:szCs w:val="22"/>
              </w:rPr>
              <w:t>Consultation</w:t>
            </w:r>
          </w:p>
        </w:tc>
      </w:tr>
    </w:tbl>
    <w:p w14:paraId="051D49A5" w14:textId="77777777" w:rsidR="005431D4" w:rsidRPr="00360CCF" w:rsidRDefault="005431D4" w:rsidP="006E0EFD">
      <w:pPr>
        <w:rPr>
          <w:rFonts w:cs="Arial"/>
        </w:rPr>
      </w:pPr>
    </w:p>
    <w:p w14:paraId="4F9EECDF" w14:textId="77777777" w:rsidR="00360CCF" w:rsidRDefault="005431D4" w:rsidP="005431D4">
      <w:pPr>
        <w:tabs>
          <w:tab w:val="left" w:pos="540"/>
        </w:tabs>
        <w:autoSpaceDE w:val="0"/>
        <w:autoSpaceDN w:val="0"/>
        <w:adjustRightInd w:val="0"/>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360CCF">
        <w:rPr>
          <w:rFonts w:cs="Arial"/>
          <w:bCs/>
          <w:color w:val="000000"/>
        </w:rPr>
        <w:t xml:space="preserve"> </w:t>
      </w:r>
    </w:p>
    <w:p w14:paraId="1EF20E1E" w14:textId="77777777" w:rsidR="005431D4" w:rsidRPr="00360CCF" w:rsidRDefault="00360CCF" w:rsidP="005431D4">
      <w:pPr>
        <w:tabs>
          <w:tab w:val="left" w:pos="540"/>
        </w:tabs>
        <w:autoSpaceDE w:val="0"/>
        <w:autoSpaceDN w:val="0"/>
        <w:adjustRightInd w:val="0"/>
        <w:rPr>
          <w:rFonts w:cs="Arial"/>
          <w:bCs/>
          <w:color w:val="000000"/>
        </w:rPr>
      </w:pPr>
      <w:r>
        <w:rPr>
          <w:rFonts w:cs="Arial"/>
          <w:bCs/>
          <w:color w:val="000000"/>
        </w:rPr>
        <w:t>A key program deliverable is a product that will be sold into the agricultural fertilizer market. We will consult with Attis Innovations to develop a business plan to bring this into widespread use.</w:t>
      </w:r>
    </w:p>
    <w:p w14:paraId="471445FA" w14:textId="77777777" w:rsidR="00C02DAD" w:rsidRDefault="00186FCC" w:rsidP="00186FCC">
      <w:pPr>
        <w:tabs>
          <w:tab w:val="left" w:pos="7185"/>
        </w:tabs>
        <w:rPr>
          <w:rFonts w:cs="Arial"/>
          <w:b/>
        </w:rPr>
      </w:pPr>
      <w:r>
        <w:rPr>
          <w:rFonts w:cs="Arial"/>
          <w:b/>
        </w:rPr>
        <w:tab/>
      </w:r>
    </w:p>
    <w:p w14:paraId="6FCD60AF" w14:textId="77777777" w:rsidR="00360CCF" w:rsidRDefault="0029726A" w:rsidP="00C02DAD">
      <w:pPr>
        <w:tabs>
          <w:tab w:val="left" w:pos="540"/>
        </w:tabs>
        <w:autoSpaceDE w:val="0"/>
        <w:autoSpaceDN w:val="0"/>
        <w:adjustRightInd w:val="0"/>
        <w:rPr>
          <w:rFonts w:cs="Arial"/>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360CCF">
        <w:rPr>
          <w:rFonts w:cs="Arial"/>
          <w:b/>
          <w:bCs/>
          <w:color w:val="000000"/>
        </w:rPr>
        <w:t>PROJECT TIMELINE</w:t>
      </w:r>
      <w:r w:rsidR="00C02DAD" w:rsidRPr="00AF4ECD">
        <w:rPr>
          <w:rFonts w:cs="Arial"/>
          <w:b/>
          <w:bCs/>
          <w:color w:val="000000"/>
        </w:rPr>
        <w:t>:</w:t>
      </w:r>
      <w:r w:rsidR="00360CCF">
        <w:rPr>
          <w:rFonts w:cs="Arial"/>
          <w:bCs/>
          <w:color w:val="000000"/>
        </w:rPr>
        <w:t xml:space="preserve"> </w:t>
      </w:r>
    </w:p>
    <w:p w14:paraId="350303C0" w14:textId="77777777" w:rsidR="00CE20AC" w:rsidRPr="00360CCF" w:rsidRDefault="00360CCF" w:rsidP="00360CCF">
      <w:pPr>
        <w:tabs>
          <w:tab w:val="left" w:pos="540"/>
        </w:tabs>
        <w:autoSpaceDE w:val="0"/>
        <w:autoSpaceDN w:val="0"/>
        <w:adjustRightInd w:val="0"/>
        <w:rPr>
          <w:rFonts w:cs="Arial"/>
          <w:bCs/>
          <w:color w:val="000000"/>
        </w:rPr>
      </w:pPr>
      <w:r>
        <w:rPr>
          <w:rFonts w:cs="Arial"/>
          <w:bCs/>
          <w:color w:val="000000"/>
        </w:rPr>
        <w:t>This project will be completed in 2 years</w:t>
      </w:r>
    </w:p>
    <w:p w14:paraId="4FB39F10" w14:textId="77777777" w:rsidR="00CE20AC" w:rsidRPr="000A26B2" w:rsidRDefault="00CE20AC" w:rsidP="00C02DAD">
      <w:pPr>
        <w:tabs>
          <w:tab w:val="left" w:pos="540"/>
        </w:tabs>
        <w:autoSpaceDE w:val="0"/>
        <w:autoSpaceDN w:val="0"/>
        <w:adjustRightInd w:val="0"/>
        <w:ind w:left="540"/>
        <w:rPr>
          <w:rFonts w:cs="Arial"/>
          <w:b/>
          <w:iCs/>
          <w:color w:val="000000"/>
        </w:rPr>
      </w:pPr>
    </w:p>
    <w:p w14:paraId="38E9F923" w14:textId="77777777" w:rsidR="008B3693" w:rsidRPr="008B3693" w:rsidRDefault="008B3693" w:rsidP="008B3693">
      <w:pPr>
        <w:tabs>
          <w:tab w:val="left" w:pos="480"/>
        </w:tabs>
        <w:autoSpaceDE w:val="0"/>
        <w:autoSpaceDN w:val="0"/>
        <w:adjustRightInd w:val="0"/>
        <w:spacing w:after="120"/>
        <w:ind w:left="475" w:hanging="475"/>
        <w:rPr>
          <w:rFonts w:asciiTheme="minorHAnsi" w:hAnsiTheme="minorHAnsi" w:cstheme="minorHAnsi"/>
        </w:rPr>
      </w:pPr>
      <w:r>
        <w:rPr>
          <w:rFonts w:ascii="Helvetica" w:hAnsi="Helvetica" w:cs="Helvetica"/>
          <w:sz w:val="24"/>
          <w:szCs w:val="24"/>
        </w:rPr>
        <w:t>1.</w:t>
      </w:r>
      <w:r>
        <w:rPr>
          <w:rFonts w:ascii="Helvetica" w:hAnsi="Helvetica" w:cs="Helvetica"/>
          <w:sz w:val="24"/>
          <w:szCs w:val="24"/>
        </w:rPr>
        <w:tab/>
      </w:r>
      <w:proofErr w:type="spellStart"/>
      <w:r w:rsidRPr="008B3693">
        <w:rPr>
          <w:rFonts w:asciiTheme="minorHAnsi" w:hAnsiTheme="minorHAnsi" w:cstheme="minorHAnsi"/>
        </w:rPr>
        <w:t>Mekonnen</w:t>
      </w:r>
      <w:proofErr w:type="spellEnd"/>
      <w:r w:rsidRPr="008B3693">
        <w:rPr>
          <w:rFonts w:asciiTheme="minorHAnsi" w:hAnsiTheme="minorHAnsi" w:cstheme="minorHAnsi"/>
        </w:rPr>
        <w:t xml:space="preserve"> MM, Hoekstra AY. Global Anthropogenic Phosphorus Loads to Freshwater and Associated Grey Water Footprints and Water Pollution Levels: A High-Resolution Global Study. </w:t>
      </w:r>
      <w:r w:rsidRPr="008B3693">
        <w:rPr>
          <w:rFonts w:asciiTheme="minorHAnsi" w:hAnsiTheme="minorHAnsi" w:cstheme="minorHAnsi"/>
          <w:i/>
          <w:iCs/>
        </w:rPr>
        <w:t xml:space="preserve">Water </w:t>
      </w:r>
      <w:proofErr w:type="spellStart"/>
      <w:r w:rsidRPr="008B3693">
        <w:rPr>
          <w:rFonts w:asciiTheme="minorHAnsi" w:hAnsiTheme="minorHAnsi" w:cstheme="minorHAnsi"/>
          <w:i/>
          <w:iCs/>
        </w:rPr>
        <w:t>Resour</w:t>
      </w:r>
      <w:proofErr w:type="spellEnd"/>
      <w:r w:rsidRPr="008B3693">
        <w:rPr>
          <w:rFonts w:asciiTheme="minorHAnsi" w:hAnsiTheme="minorHAnsi" w:cstheme="minorHAnsi"/>
          <w:i/>
          <w:iCs/>
        </w:rPr>
        <w:t xml:space="preserve"> Res</w:t>
      </w:r>
      <w:r w:rsidRPr="008B3693">
        <w:rPr>
          <w:rFonts w:asciiTheme="minorHAnsi" w:hAnsiTheme="minorHAnsi" w:cstheme="minorHAnsi"/>
        </w:rPr>
        <w:t>. 2018;54(1):345-358.</w:t>
      </w:r>
    </w:p>
    <w:p w14:paraId="030782C5" w14:textId="77777777" w:rsidR="006E0EFD" w:rsidRPr="008B3693" w:rsidRDefault="008B3693" w:rsidP="008B3693">
      <w:pPr>
        <w:tabs>
          <w:tab w:val="left" w:pos="480"/>
        </w:tabs>
        <w:autoSpaceDE w:val="0"/>
        <w:autoSpaceDN w:val="0"/>
        <w:adjustRightInd w:val="0"/>
        <w:spacing w:after="120"/>
        <w:ind w:left="475" w:hanging="475"/>
        <w:rPr>
          <w:rFonts w:asciiTheme="minorHAnsi" w:hAnsiTheme="minorHAnsi" w:cstheme="minorHAnsi"/>
        </w:rPr>
      </w:pPr>
      <w:r w:rsidRPr="008B3693">
        <w:rPr>
          <w:rFonts w:asciiTheme="minorHAnsi" w:hAnsiTheme="minorHAnsi" w:cstheme="minorHAnsi"/>
        </w:rPr>
        <w:t>2.</w:t>
      </w:r>
      <w:r w:rsidRPr="008B3693">
        <w:rPr>
          <w:rFonts w:asciiTheme="minorHAnsi" w:hAnsiTheme="minorHAnsi" w:cstheme="minorHAnsi"/>
        </w:rPr>
        <w:tab/>
        <w:t xml:space="preserve">SHAVIV A, MIKKELSEN RL. Controlled-Release Fertilizers to Increase Efficiency of Nutrient Use and Minimize Environmental Degradation - a Review. </w:t>
      </w:r>
      <w:r w:rsidRPr="008B3693">
        <w:rPr>
          <w:rFonts w:asciiTheme="minorHAnsi" w:hAnsiTheme="minorHAnsi" w:cstheme="minorHAnsi"/>
          <w:i/>
          <w:iCs/>
        </w:rPr>
        <w:t>Fertilizer Research</w:t>
      </w:r>
      <w:r w:rsidRPr="008B3693">
        <w:rPr>
          <w:rFonts w:asciiTheme="minorHAnsi" w:hAnsiTheme="minorHAnsi" w:cstheme="minorHAnsi"/>
        </w:rPr>
        <w:t>. 1993;35(1-2):1-12.</w:t>
      </w:r>
      <w:r>
        <w:rPr>
          <w:rFonts w:cs="Arial"/>
        </w:rPr>
        <w:fldChar w:fldCharType="begin"/>
      </w:r>
      <w:r>
        <w:rPr>
          <w:rFonts w:cs="Arial"/>
        </w:rPr>
        <w:instrText xml:space="preserve"> ADDIN PAPERS2_CITATIONS &lt;papers2_bibliography/&gt;</w:instrText>
      </w:r>
      <w:r>
        <w:rPr>
          <w:rFonts w:cs="Arial"/>
        </w:rPr>
        <w:fldChar w:fldCharType="end"/>
      </w:r>
    </w:p>
    <w:sectPr w:rsidR="006E0EFD" w:rsidRPr="008B3693"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6780" w14:textId="77777777" w:rsidR="00CA0056" w:rsidRDefault="00CA0056" w:rsidP="00533120">
      <w:r>
        <w:separator/>
      </w:r>
    </w:p>
  </w:endnote>
  <w:endnote w:type="continuationSeparator" w:id="0">
    <w:p w14:paraId="3C734E5D" w14:textId="77777777" w:rsidR="00CA0056" w:rsidRDefault="00CA0056" w:rsidP="00533120">
      <w:r>
        <w:continuationSeparator/>
      </w:r>
    </w:p>
  </w:endnote>
  <w:endnote w:type="continuationNotice" w:id="1">
    <w:p w14:paraId="33A3B387" w14:textId="77777777" w:rsidR="00CA0056" w:rsidRDefault="00CA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9AF5"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501B"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6418F99E"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8FFB5"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4D6ABBA"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6C9C6" w14:textId="77777777" w:rsidR="00CA0056" w:rsidRDefault="00CA0056" w:rsidP="00533120">
      <w:r>
        <w:separator/>
      </w:r>
    </w:p>
  </w:footnote>
  <w:footnote w:type="continuationSeparator" w:id="0">
    <w:p w14:paraId="694C4E7E" w14:textId="77777777" w:rsidR="00CA0056" w:rsidRDefault="00CA0056" w:rsidP="00533120">
      <w:r>
        <w:continuationSeparator/>
      </w:r>
    </w:p>
  </w:footnote>
  <w:footnote w:type="continuationNotice" w:id="1">
    <w:p w14:paraId="641F9556" w14:textId="77777777" w:rsidR="00CA0056" w:rsidRDefault="00CA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4088C"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2149AFB0" w14:textId="77777777" w:rsidTr="00E47145">
      <w:tc>
        <w:tcPr>
          <w:tcW w:w="1278" w:type="dxa"/>
        </w:tcPr>
        <w:p w14:paraId="55ED7C8B"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434539B" wp14:editId="06781F3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2CFBA7D" w14:textId="77777777" w:rsidR="005F7237" w:rsidRPr="00A42E60" w:rsidRDefault="005F7237" w:rsidP="00EB5831">
          <w:pPr>
            <w:rPr>
              <w:b/>
            </w:rPr>
          </w:pPr>
          <w:r w:rsidRPr="00A42E60">
            <w:rPr>
              <w:b/>
            </w:rPr>
            <w:t>Environment and Natural Resources Trust Fund (ENRTF)</w:t>
          </w:r>
        </w:p>
        <w:p w14:paraId="463206A8"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8362C2F" w14:textId="77777777" w:rsidR="005F7237" w:rsidRPr="00EB5831" w:rsidRDefault="005F7237" w:rsidP="00EB5831">
          <w:pPr>
            <w:pStyle w:val="Header"/>
            <w:rPr>
              <w:lang w:val="en-US" w:eastAsia="en-US"/>
            </w:rPr>
          </w:pPr>
        </w:p>
      </w:tc>
    </w:tr>
  </w:tbl>
  <w:p w14:paraId="22E5B7A6"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1C63ADA5" w14:textId="77777777" w:rsidTr="00C660F0">
      <w:tc>
        <w:tcPr>
          <w:tcW w:w="1098" w:type="dxa"/>
        </w:tcPr>
        <w:p w14:paraId="3436E66A" w14:textId="77777777" w:rsidR="005F7237" w:rsidRPr="00EB5831" w:rsidRDefault="009541C4" w:rsidP="00C660F0">
          <w:pPr>
            <w:pStyle w:val="Header"/>
            <w:rPr>
              <w:lang w:val="en-US" w:eastAsia="en-US"/>
            </w:rPr>
          </w:pPr>
          <w:r>
            <w:rPr>
              <w:noProof/>
              <w:lang w:val="en-US" w:eastAsia="en-US"/>
            </w:rPr>
            <w:drawing>
              <wp:inline distT="0" distB="0" distL="0" distR="0" wp14:anchorId="4951C2B7" wp14:editId="60A7C27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9325297" w14:textId="77777777" w:rsidR="005F7237" w:rsidRPr="00A42E60" w:rsidRDefault="005F7237" w:rsidP="00C660F0">
          <w:pPr>
            <w:rPr>
              <w:b/>
            </w:rPr>
          </w:pPr>
          <w:r w:rsidRPr="00A42E60">
            <w:rPr>
              <w:b/>
            </w:rPr>
            <w:t>Environment and Natural Resources Trust Fund (ENRTF)</w:t>
          </w:r>
        </w:p>
        <w:p w14:paraId="5A973BC7" w14:textId="77777777" w:rsidR="005F7237" w:rsidRPr="00EB5831" w:rsidRDefault="005F7237" w:rsidP="00806460">
          <w:pPr>
            <w:pStyle w:val="Header"/>
            <w:rPr>
              <w:b/>
              <w:lang w:val="en-US" w:eastAsia="en-US"/>
            </w:rPr>
          </w:pPr>
          <w:r w:rsidRPr="00EB5831">
            <w:rPr>
              <w:b/>
              <w:lang w:val="en-US" w:eastAsia="en-US"/>
            </w:rPr>
            <w:t>2014 Main Proposal</w:t>
          </w:r>
        </w:p>
        <w:p w14:paraId="76DD21B9"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7095B1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3C26"/>
    <w:rsid w:val="0001392E"/>
    <w:rsid w:val="00020FA1"/>
    <w:rsid w:val="00061EF5"/>
    <w:rsid w:val="00062497"/>
    <w:rsid w:val="00065366"/>
    <w:rsid w:val="00066479"/>
    <w:rsid w:val="00073C96"/>
    <w:rsid w:val="00082326"/>
    <w:rsid w:val="000A5CBA"/>
    <w:rsid w:val="000B34BA"/>
    <w:rsid w:val="000C3EF3"/>
    <w:rsid w:val="000D7F31"/>
    <w:rsid w:val="00100A34"/>
    <w:rsid w:val="00107495"/>
    <w:rsid w:val="001136BF"/>
    <w:rsid w:val="001225BC"/>
    <w:rsid w:val="00151ADF"/>
    <w:rsid w:val="00165716"/>
    <w:rsid w:val="00166270"/>
    <w:rsid w:val="0018005E"/>
    <w:rsid w:val="001812E4"/>
    <w:rsid w:val="00186FCC"/>
    <w:rsid w:val="001B0368"/>
    <w:rsid w:val="001B7D20"/>
    <w:rsid w:val="001B7FA3"/>
    <w:rsid w:val="001C364D"/>
    <w:rsid w:val="001E0B5B"/>
    <w:rsid w:val="001E0DD7"/>
    <w:rsid w:val="001E42AC"/>
    <w:rsid w:val="00205D85"/>
    <w:rsid w:val="00206484"/>
    <w:rsid w:val="002159DD"/>
    <w:rsid w:val="00217C2A"/>
    <w:rsid w:val="0022035A"/>
    <w:rsid w:val="00290E4E"/>
    <w:rsid w:val="0029726A"/>
    <w:rsid w:val="002B469A"/>
    <w:rsid w:val="002C2A0B"/>
    <w:rsid w:val="00305325"/>
    <w:rsid w:val="003205A7"/>
    <w:rsid w:val="003239FE"/>
    <w:rsid w:val="003350A9"/>
    <w:rsid w:val="00342643"/>
    <w:rsid w:val="00347E7A"/>
    <w:rsid w:val="00351EA6"/>
    <w:rsid w:val="00354888"/>
    <w:rsid w:val="003578A0"/>
    <w:rsid w:val="00360CCF"/>
    <w:rsid w:val="003713A6"/>
    <w:rsid w:val="0037310D"/>
    <w:rsid w:val="0039481E"/>
    <w:rsid w:val="003C1C50"/>
    <w:rsid w:val="003E7F6F"/>
    <w:rsid w:val="003F32CA"/>
    <w:rsid w:val="00400E73"/>
    <w:rsid w:val="00404B9C"/>
    <w:rsid w:val="004065DB"/>
    <w:rsid w:val="00406BC4"/>
    <w:rsid w:val="00424B38"/>
    <w:rsid w:val="004357AE"/>
    <w:rsid w:val="004530F7"/>
    <w:rsid w:val="00454495"/>
    <w:rsid w:val="004745E1"/>
    <w:rsid w:val="00485A76"/>
    <w:rsid w:val="00487D08"/>
    <w:rsid w:val="0049103C"/>
    <w:rsid w:val="004A43B9"/>
    <w:rsid w:val="004A4BE4"/>
    <w:rsid w:val="004B3358"/>
    <w:rsid w:val="004C42C8"/>
    <w:rsid w:val="004E5FBB"/>
    <w:rsid w:val="004E6113"/>
    <w:rsid w:val="00507599"/>
    <w:rsid w:val="00516D4D"/>
    <w:rsid w:val="00530FEE"/>
    <w:rsid w:val="00533120"/>
    <w:rsid w:val="005431D4"/>
    <w:rsid w:val="00550B29"/>
    <w:rsid w:val="005648A9"/>
    <w:rsid w:val="00583969"/>
    <w:rsid w:val="005A1D00"/>
    <w:rsid w:val="005A4FB1"/>
    <w:rsid w:val="005B7A0B"/>
    <w:rsid w:val="005C22D1"/>
    <w:rsid w:val="005D2E2A"/>
    <w:rsid w:val="005F0DBA"/>
    <w:rsid w:val="005F1006"/>
    <w:rsid w:val="005F7237"/>
    <w:rsid w:val="00602068"/>
    <w:rsid w:val="00614DF2"/>
    <w:rsid w:val="006367C1"/>
    <w:rsid w:val="00640A9A"/>
    <w:rsid w:val="00651534"/>
    <w:rsid w:val="006562F0"/>
    <w:rsid w:val="00663F97"/>
    <w:rsid w:val="0067611A"/>
    <w:rsid w:val="00686B53"/>
    <w:rsid w:val="0069333D"/>
    <w:rsid w:val="00696D14"/>
    <w:rsid w:val="006B16EB"/>
    <w:rsid w:val="006C6820"/>
    <w:rsid w:val="006E0EFD"/>
    <w:rsid w:val="006F7F24"/>
    <w:rsid w:val="00714541"/>
    <w:rsid w:val="00716E44"/>
    <w:rsid w:val="00721661"/>
    <w:rsid w:val="00731A65"/>
    <w:rsid w:val="00760C4C"/>
    <w:rsid w:val="007775AE"/>
    <w:rsid w:val="007936A9"/>
    <w:rsid w:val="007B284F"/>
    <w:rsid w:val="007B3535"/>
    <w:rsid w:val="007C0C32"/>
    <w:rsid w:val="007D6A4B"/>
    <w:rsid w:val="007E3014"/>
    <w:rsid w:val="007F1F3E"/>
    <w:rsid w:val="007F2EAF"/>
    <w:rsid w:val="007F4B3E"/>
    <w:rsid w:val="007F720F"/>
    <w:rsid w:val="00806460"/>
    <w:rsid w:val="008076FB"/>
    <w:rsid w:val="00862B20"/>
    <w:rsid w:val="008949EE"/>
    <w:rsid w:val="008A088E"/>
    <w:rsid w:val="008A4498"/>
    <w:rsid w:val="008A5135"/>
    <w:rsid w:val="008A5FD9"/>
    <w:rsid w:val="008B3693"/>
    <w:rsid w:val="008B4E63"/>
    <w:rsid w:val="008D2242"/>
    <w:rsid w:val="00910DB8"/>
    <w:rsid w:val="00912C65"/>
    <w:rsid w:val="0091776C"/>
    <w:rsid w:val="009541C4"/>
    <w:rsid w:val="00962B06"/>
    <w:rsid w:val="00984784"/>
    <w:rsid w:val="009A0E06"/>
    <w:rsid w:val="009A3BBC"/>
    <w:rsid w:val="009A49DE"/>
    <w:rsid w:val="009B0D32"/>
    <w:rsid w:val="009B6749"/>
    <w:rsid w:val="009C4875"/>
    <w:rsid w:val="009C4C75"/>
    <w:rsid w:val="009D0E57"/>
    <w:rsid w:val="009D14B4"/>
    <w:rsid w:val="009D6EC8"/>
    <w:rsid w:val="009F07AB"/>
    <w:rsid w:val="00A03E0A"/>
    <w:rsid w:val="00A13F26"/>
    <w:rsid w:val="00A42E60"/>
    <w:rsid w:val="00A4336A"/>
    <w:rsid w:val="00A45A41"/>
    <w:rsid w:val="00A45E0B"/>
    <w:rsid w:val="00A51713"/>
    <w:rsid w:val="00A64A86"/>
    <w:rsid w:val="00A7257F"/>
    <w:rsid w:val="00A73B75"/>
    <w:rsid w:val="00AB6CFF"/>
    <w:rsid w:val="00AC2C07"/>
    <w:rsid w:val="00AC2CDE"/>
    <w:rsid w:val="00AD3337"/>
    <w:rsid w:val="00AD7316"/>
    <w:rsid w:val="00B149B0"/>
    <w:rsid w:val="00B37C17"/>
    <w:rsid w:val="00B55234"/>
    <w:rsid w:val="00B62267"/>
    <w:rsid w:val="00B659CD"/>
    <w:rsid w:val="00B728BF"/>
    <w:rsid w:val="00B8369A"/>
    <w:rsid w:val="00B858A2"/>
    <w:rsid w:val="00B863C0"/>
    <w:rsid w:val="00B86A22"/>
    <w:rsid w:val="00BC28A6"/>
    <w:rsid w:val="00BD38CA"/>
    <w:rsid w:val="00BD575E"/>
    <w:rsid w:val="00BF2A4F"/>
    <w:rsid w:val="00C02DAD"/>
    <w:rsid w:val="00C13FDE"/>
    <w:rsid w:val="00C51671"/>
    <w:rsid w:val="00C61D1C"/>
    <w:rsid w:val="00C660F0"/>
    <w:rsid w:val="00C72BD9"/>
    <w:rsid w:val="00C82CD3"/>
    <w:rsid w:val="00C85E92"/>
    <w:rsid w:val="00C952E4"/>
    <w:rsid w:val="00C9654A"/>
    <w:rsid w:val="00CA0056"/>
    <w:rsid w:val="00CB652D"/>
    <w:rsid w:val="00CE20AC"/>
    <w:rsid w:val="00CF506C"/>
    <w:rsid w:val="00D02E23"/>
    <w:rsid w:val="00D1046A"/>
    <w:rsid w:val="00D121DD"/>
    <w:rsid w:val="00D13D3B"/>
    <w:rsid w:val="00D25619"/>
    <w:rsid w:val="00D2602A"/>
    <w:rsid w:val="00D32CFB"/>
    <w:rsid w:val="00D37BC1"/>
    <w:rsid w:val="00D47A94"/>
    <w:rsid w:val="00D55903"/>
    <w:rsid w:val="00D61582"/>
    <w:rsid w:val="00D67F4A"/>
    <w:rsid w:val="00DD38E0"/>
    <w:rsid w:val="00E05A65"/>
    <w:rsid w:val="00E16B7B"/>
    <w:rsid w:val="00E22CFD"/>
    <w:rsid w:val="00E361A2"/>
    <w:rsid w:val="00E43281"/>
    <w:rsid w:val="00E47145"/>
    <w:rsid w:val="00E5279E"/>
    <w:rsid w:val="00E619C4"/>
    <w:rsid w:val="00E76D57"/>
    <w:rsid w:val="00EB5831"/>
    <w:rsid w:val="00EE0B5A"/>
    <w:rsid w:val="00F152A1"/>
    <w:rsid w:val="00F406AC"/>
    <w:rsid w:val="00F42507"/>
    <w:rsid w:val="00F70DE4"/>
    <w:rsid w:val="00F9232B"/>
    <w:rsid w:val="00F92864"/>
    <w:rsid w:val="00F952B7"/>
    <w:rsid w:val="00F96203"/>
    <w:rsid w:val="00F97C94"/>
    <w:rsid w:val="00F97E95"/>
    <w:rsid w:val="00FA588E"/>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F161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8B4E63"/>
    <w:rPr>
      <w:color w:val="0000FF" w:themeColor="hyperlink"/>
      <w:u w:val="single"/>
    </w:rPr>
  </w:style>
  <w:style w:type="character" w:styleId="UnresolvedMention">
    <w:name w:val="Unresolved Mention"/>
    <w:basedOn w:val="DefaultParagraphFont"/>
    <w:uiPriority w:val="99"/>
    <w:semiHidden/>
    <w:unhideWhenUsed/>
    <w:rsid w:val="008B4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8249">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138913309">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64865239">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Eric Singsaas</cp:lastModifiedBy>
  <cp:revision>13</cp:revision>
  <cp:lastPrinted>2018-11-29T16:36:00Z</cp:lastPrinted>
  <dcterms:created xsi:type="dcterms:W3CDTF">2019-03-14T22:03:00Z</dcterms:created>
  <dcterms:modified xsi:type="dcterms:W3CDTF">2019-04-15T00:09:00Z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id="http://www.zotero.org/styles/american-medical-association"/&gt;&lt;format class="21"/&gt;&lt;count citations="2" publications="2"/&gt;&lt;/info&gt;PAPERS2_INFO_END</vt:lpwstr>
  </property>
</Properties>
</file>