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FB1" w:rsidRDefault="005A4FB1" w:rsidP="005A4FB1">
      <w:pPr>
        <w:jc w:val="center"/>
        <w:rPr>
          <w:rFonts w:cs="Arial"/>
          <w:i/>
        </w:rPr>
      </w:pPr>
    </w:p>
    <w:p w:rsidR="006E0EFD" w:rsidRPr="00337D1E" w:rsidRDefault="006E0EFD" w:rsidP="006E0EFD">
      <w:pPr>
        <w:rPr>
          <w:rFonts w:cs="Arial"/>
          <w:i/>
        </w:rPr>
      </w:pPr>
      <w:r w:rsidRPr="009D6EC8">
        <w:rPr>
          <w:rFonts w:cs="Arial"/>
          <w:b/>
        </w:rPr>
        <w:t>PROJECT TITLE:</w:t>
      </w:r>
      <w:r w:rsidR="00337D1E">
        <w:rPr>
          <w:rFonts w:cs="Arial"/>
          <w:i/>
        </w:rPr>
        <w:t xml:space="preserve"> </w:t>
      </w:r>
      <w:r w:rsidR="006C19BF">
        <w:rPr>
          <w:rFonts w:cs="Arial"/>
        </w:rPr>
        <w:t>A</w:t>
      </w:r>
      <w:r w:rsidR="008D6169">
        <w:rPr>
          <w:rFonts w:cs="Arial"/>
        </w:rPr>
        <w:t>da</w:t>
      </w:r>
      <w:r w:rsidR="008D6169" w:rsidRPr="00B624AA">
        <w:rPr>
          <w:rFonts w:cs="Arial"/>
        </w:rPr>
        <w:t xml:space="preserve">pting 4R </w:t>
      </w:r>
      <w:r w:rsidR="006C19BF">
        <w:rPr>
          <w:rFonts w:cs="Arial"/>
        </w:rPr>
        <w:t>Management</w:t>
      </w:r>
      <w:r w:rsidR="008D6169" w:rsidRPr="00B624AA">
        <w:rPr>
          <w:rFonts w:cs="Arial"/>
        </w:rPr>
        <w:t xml:space="preserve"> for the Red River Basin</w:t>
      </w:r>
    </w:p>
    <w:p w:rsidR="00337D1E" w:rsidRDefault="00337D1E" w:rsidP="006E0EFD">
      <w:pPr>
        <w:rPr>
          <w:rFonts w:cs="Arial"/>
          <w:b/>
        </w:rPr>
      </w:pPr>
    </w:p>
    <w:p w:rsidR="006E0EFD" w:rsidRPr="009D6EC8" w:rsidRDefault="006E0EFD" w:rsidP="006E0EFD">
      <w:pPr>
        <w:rPr>
          <w:rFonts w:cs="Arial"/>
        </w:rPr>
      </w:pPr>
      <w:r w:rsidRPr="009D6EC8">
        <w:rPr>
          <w:rFonts w:cs="Arial"/>
          <w:b/>
        </w:rPr>
        <w:t>I. PROJECT STATEMENT</w:t>
      </w:r>
    </w:p>
    <w:p w:rsidR="00337D1E" w:rsidRPr="00337D1E" w:rsidRDefault="00BA64D1" w:rsidP="005B66B7">
      <w:pPr>
        <w:jc w:val="both"/>
        <w:rPr>
          <w:rFonts w:cs="Arial"/>
        </w:rPr>
      </w:pPr>
      <w:r>
        <w:rPr>
          <w:rFonts w:cs="Arial"/>
        </w:rPr>
        <w:t xml:space="preserve">There is </w:t>
      </w:r>
      <w:r w:rsidRPr="00B624AA">
        <w:rPr>
          <w:rFonts w:cs="Arial"/>
        </w:rPr>
        <w:t xml:space="preserve">an </w:t>
      </w:r>
      <w:r w:rsidRPr="00BA64D1">
        <w:rPr>
          <w:rFonts w:cs="Arial"/>
          <w:u w:val="single"/>
        </w:rPr>
        <w:t>urgent need</w:t>
      </w:r>
      <w:r w:rsidRPr="00B624AA">
        <w:rPr>
          <w:rFonts w:cs="Arial"/>
        </w:rPr>
        <w:t xml:space="preserve"> for effective strategies to reduce nutrient runoff</w:t>
      </w:r>
      <w:r>
        <w:rPr>
          <w:rFonts w:cs="Arial"/>
        </w:rPr>
        <w:t xml:space="preserve"> in Northern Minnesota’s Red River Basin. </w:t>
      </w:r>
      <w:r w:rsidR="008D6169">
        <w:rPr>
          <w:rFonts w:cs="Arial"/>
        </w:rPr>
        <w:t>Minnesota’s</w:t>
      </w:r>
      <w:r w:rsidR="008D6169" w:rsidRPr="00B624AA">
        <w:rPr>
          <w:rFonts w:cs="Arial"/>
        </w:rPr>
        <w:t xml:space="preserve"> Red River Basin watershed is on the leading edge of the expansion of the Northern Corn Belt.</w:t>
      </w:r>
      <w:r w:rsidR="00B624AA" w:rsidRPr="00B624AA">
        <w:rPr>
          <w:rFonts w:cs="Arial"/>
        </w:rPr>
        <w:t xml:space="preserve"> With this expansion comes increase</w:t>
      </w:r>
      <w:r>
        <w:rPr>
          <w:rFonts w:cs="Arial"/>
        </w:rPr>
        <w:t>s in</w:t>
      </w:r>
      <w:r w:rsidR="00B624AA" w:rsidRPr="00B624AA">
        <w:rPr>
          <w:rFonts w:cs="Arial"/>
        </w:rPr>
        <w:t xml:space="preserve"> subsurface (tile) drainage, changes in fertilizer application, and alteration</w:t>
      </w:r>
      <w:r>
        <w:rPr>
          <w:rFonts w:cs="Arial"/>
        </w:rPr>
        <w:t>s</w:t>
      </w:r>
      <w:r w:rsidR="00B624AA" w:rsidRPr="00B624AA">
        <w:rPr>
          <w:rFonts w:cs="Arial"/>
        </w:rPr>
        <w:t xml:space="preserve"> </w:t>
      </w:r>
      <w:r>
        <w:rPr>
          <w:rFonts w:cs="Arial"/>
        </w:rPr>
        <w:t>in</w:t>
      </w:r>
      <w:r w:rsidR="00B624AA" w:rsidRPr="00B624AA">
        <w:rPr>
          <w:rFonts w:cs="Arial"/>
        </w:rPr>
        <w:t xml:space="preserve"> patterns o</w:t>
      </w:r>
      <w:r w:rsidR="00B624AA">
        <w:rPr>
          <w:rFonts w:cs="Arial"/>
        </w:rPr>
        <w:t xml:space="preserve">f nutrient loss. </w:t>
      </w:r>
      <w:r w:rsidR="00B624AA" w:rsidRPr="00B624AA">
        <w:rPr>
          <w:rFonts w:cs="Arial"/>
        </w:rPr>
        <w:t>This region is not only undergoing a transformational shift in agricultural practices. It also is also experiencing a transformational threat to public health and aquatic ecosystems: harmful algal blooms</w:t>
      </w:r>
      <w:r w:rsidR="00D54C1F">
        <w:rPr>
          <w:rFonts w:cs="Arial"/>
        </w:rPr>
        <w:t xml:space="preserve"> (HABs)</w:t>
      </w:r>
      <w:r w:rsidR="00B624AA">
        <w:rPr>
          <w:rFonts w:cs="Arial"/>
        </w:rPr>
        <w:t>.</w:t>
      </w:r>
      <w:r w:rsidR="00B260F3">
        <w:rPr>
          <w:rFonts w:cs="Arial"/>
        </w:rPr>
        <w:t xml:space="preserve"> </w:t>
      </w:r>
      <w:r w:rsidR="00B260F3" w:rsidRPr="00B260F3">
        <w:rPr>
          <w:rFonts w:cs="Arial"/>
        </w:rPr>
        <w:t>In</w:t>
      </w:r>
      <w:r w:rsidR="00B260F3">
        <w:rPr>
          <w:rFonts w:cs="Arial"/>
        </w:rPr>
        <w:t xml:space="preserve"> </w:t>
      </w:r>
      <w:r w:rsidR="00B260F3" w:rsidRPr="00B260F3">
        <w:rPr>
          <w:rFonts w:cs="Arial"/>
        </w:rPr>
        <w:t xml:space="preserve">Minnesota, HABs have led to serious incidents including </w:t>
      </w:r>
      <w:r w:rsidR="00B260F3">
        <w:rPr>
          <w:rFonts w:cs="Arial"/>
        </w:rPr>
        <w:t>human illness and</w:t>
      </w:r>
      <w:r w:rsidR="008D6169">
        <w:rPr>
          <w:rFonts w:cs="Arial"/>
        </w:rPr>
        <w:t xml:space="preserve"> pet</w:t>
      </w:r>
      <w:r w:rsidR="00B260F3">
        <w:rPr>
          <w:rFonts w:cs="Arial"/>
        </w:rPr>
        <w:t xml:space="preserve"> death</w:t>
      </w:r>
      <w:r w:rsidR="008D6169">
        <w:rPr>
          <w:rFonts w:cs="Arial"/>
        </w:rPr>
        <w:t>s</w:t>
      </w:r>
      <w:r w:rsidR="00B260F3" w:rsidRPr="00B260F3">
        <w:rPr>
          <w:rFonts w:cs="Arial"/>
        </w:rPr>
        <w:t>.</w:t>
      </w:r>
      <w:r w:rsidR="00B624AA">
        <w:rPr>
          <w:rFonts w:cs="Arial"/>
        </w:rPr>
        <w:t xml:space="preserve"> </w:t>
      </w:r>
      <w:r w:rsidR="00B624AA" w:rsidRPr="00B624AA">
        <w:rPr>
          <w:rFonts w:cs="Arial"/>
        </w:rPr>
        <w:t>Mot</w:t>
      </w:r>
      <w:r w:rsidR="008D6169">
        <w:rPr>
          <w:rFonts w:cs="Arial"/>
        </w:rPr>
        <w:t>ivating producers to change</w:t>
      </w:r>
      <w:r w:rsidR="00B624AA" w:rsidRPr="00B624AA">
        <w:rPr>
          <w:rFonts w:cs="Arial"/>
        </w:rPr>
        <w:t xml:space="preserve"> production practices based on environmental impact is</w:t>
      </w:r>
      <w:r w:rsidR="00B260F3">
        <w:rPr>
          <w:rFonts w:cs="Arial"/>
        </w:rPr>
        <w:t xml:space="preserve"> often difficult. </w:t>
      </w:r>
      <w:r w:rsidR="008D6169">
        <w:rPr>
          <w:rFonts w:cs="Arial"/>
        </w:rPr>
        <w:t>C</w:t>
      </w:r>
      <w:r w:rsidR="00B260F3">
        <w:rPr>
          <w:rFonts w:cs="Arial"/>
        </w:rPr>
        <w:t xml:space="preserve">ommon </w:t>
      </w:r>
      <w:r w:rsidR="008D6169">
        <w:rPr>
          <w:rFonts w:cs="Arial"/>
        </w:rPr>
        <w:t>middle ground</w:t>
      </w:r>
      <w:r w:rsidR="00B260F3">
        <w:rPr>
          <w:rFonts w:cs="Arial"/>
        </w:rPr>
        <w:t xml:space="preserve"> </w:t>
      </w:r>
      <w:proofErr w:type="gramStart"/>
      <w:r w:rsidR="008D6169">
        <w:rPr>
          <w:rFonts w:cs="Arial"/>
        </w:rPr>
        <w:t>can be found</w:t>
      </w:r>
      <w:proofErr w:type="gramEnd"/>
      <w:r w:rsidR="008D6169">
        <w:rPr>
          <w:rFonts w:cs="Arial"/>
        </w:rPr>
        <w:t xml:space="preserve"> through</w:t>
      </w:r>
      <w:r w:rsidR="00B260F3">
        <w:rPr>
          <w:rFonts w:cs="Arial"/>
        </w:rPr>
        <w:t xml:space="preserve"> improve</w:t>
      </w:r>
      <w:r w:rsidR="008D6169">
        <w:rPr>
          <w:rFonts w:cs="Arial"/>
        </w:rPr>
        <w:t>ment in</w:t>
      </w:r>
      <w:r w:rsidR="00B260F3">
        <w:rPr>
          <w:rFonts w:cs="Arial"/>
        </w:rPr>
        <w:t xml:space="preserve"> nutrient utilization</w:t>
      </w:r>
      <w:r w:rsidR="00D54C1F">
        <w:rPr>
          <w:rFonts w:cs="Arial"/>
        </w:rPr>
        <w:t xml:space="preserve"> </w:t>
      </w:r>
      <w:r w:rsidR="008375CB">
        <w:rPr>
          <w:rFonts w:cs="Arial"/>
        </w:rPr>
        <w:t>to</w:t>
      </w:r>
      <w:r w:rsidR="00D54C1F">
        <w:rPr>
          <w:rFonts w:cs="Arial"/>
        </w:rPr>
        <w:t xml:space="preserve"> minimize</w:t>
      </w:r>
      <w:r w:rsidR="00B260F3">
        <w:rPr>
          <w:rFonts w:cs="Arial"/>
        </w:rPr>
        <w:t xml:space="preserve"> off-site nutrient loss</w:t>
      </w:r>
      <w:r w:rsidR="00B624AA" w:rsidRPr="00B624AA">
        <w:rPr>
          <w:rFonts w:cs="Arial"/>
        </w:rPr>
        <w:t>.</w:t>
      </w:r>
      <w:r w:rsidR="008D6169">
        <w:rPr>
          <w:rFonts w:cs="Arial"/>
        </w:rPr>
        <w:t xml:space="preserve"> The 4R Nutrient Stewardship framework encourages thinking critically about nutrient application. The goal is to apply nutrients at the </w:t>
      </w:r>
      <w:r w:rsidR="008D6169" w:rsidRPr="008D6169">
        <w:rPr>
          <w:rFonts w:cs="Arial"/>
          <w:u w:val="single"/>
        </w:rPr>
        <w:t>Right Rate</w:t>
      </w:r>
      <w:r w:rsidR="008D6169">
        <w:rPr>
          <w:rFonts w:cs="Arial"/>
        </w:rPr>
        <w:t xml:space="preserve">, in the </w:t>
      </w:r>
      <w:r w:rsidR="008D6169" w:rsidRPr="008D6169">
        <w:rPr>
          <w:rFonts w:cs="Arial"/>
          <w:u w:val="single"/>
        </w:rPr>
        <w:t>Right Place</w:t>
      </w:r>
      <w:r w:rsidR="008D6169" w:rsidRPr="008D6169">
        <w:rPr>
          <w:rFonts w:cs="Arial"/>
        </w:rPr>
        <w:t>,</w:t>
      </w:r>
      <w:r w:rsidR="008D6169">
        <w:rPr>
          <w:rFonts w:cs="Arial"/>
        </w:rPr>
        <w:t xml:space="preserve"> at the </w:t>
      </w:r>
      <w:r w:rsidR="008D6169" w:rsidRPr="008D6169">
        <w:rPr>
          <w:rFonts w:cs="Arial"/>
          <w:u w:val="single"/>
        </w:rPr>
        <w:t>Right Time</w:t>
      </w:r>
      <w:r w:rsidR="008D6169">
        <w:rPr>
          <w:rFonts w:cs="Arial"/>
        </w:rPr>
        <w:t xml:space="preserve">, and from the </w:t>
      </w:r>
      <w:r w:rsidR="008D6169" w:rsidRPr="008D6169">
        <w:rPr>
          <w:rFonts w:cs="Arial"/>
          <w:u w:val="single"/>
        </w:rPr>
        <w:t>Right Source</w:t>
      </w:r>
      <w:r w:rsidR="008D6169">
        <w:rPr>
          <w:rFonts w:cs="Arial"/>
        </w:rPr>
        <w:t>.</w:t>
      </w:r>
      <w:r w:rsidR="00B624AA" w:rsidRPr="00B624AA">
        <w:rPr>
          <w:rFonts w:cs="Arial"/>
        </w:rPr>
        <w:t xml:space="preserve"> Previous research has shown that the 4R framework can help to meet load reduction goals</w:t>
      </w:r>
      <w:r w:rsidR="008D6169">
        <w:rPr>
          <w:rFonts w:cs="Arial"/>
        </w:rPr>
        <w:t xml:space="preserve"> in Ohio’s similarly flat</w:t>
      </w:r>
      <w:r w:rsidR="00B624AA" w:rsidRPr="00B624AA">
        <w:rPr>
          <w:rFonts w:cs="Arial"/>
        </w:rPr>
        <w:t xml:space="preserve"> Western Lake Erie Basin watershed.</w:t>
      </w:r>
      <w:r w:rsidR="00577AAD">
        <w:rPr>
          <w:rFonts w:cs="Arial"/>
        </w:rPr>
        <w:t xml:space="preserve"> While promising, the 4R framework </w:t>
      </w:r>
      <w:proofErr w:type="gramStart"/>
      <w:r w:rsidR="00577AAD">
        <w:rPr>
          <w:rFonts w:cs="Arial"/>
        </w:rPr>
        <w:t>must be tested</w:t>
      </w:r>
      <w:proofErr w:type="gramEnd"/>
      <w:r w:rsidR="00577AAD">
        <w:rPr>
          <w:rFonts w:cs="Arial"/>
        </w:rPr>
        <w:t xml:space="preserve"> in the</w:t>
      </w:r>
      <w:r w:rsidR="00B624AA" w:rsidRPr="00B624AA">
        <w:rPr>
          <w:rFonts w:cs="Arial"/>
        </w:rPr>
        <w:t xml:space="preserve"> </w:t>
      </w:r>
      <w:r w:rsidR="00577AAD">
        <w:rPr>
          <w:rFonts w:cs="Arial"/>
        </w:rPr>
        <w:t>harsh winters, wet springs, and dry summers of</w:t>
      </w:r>
      <w:r w:rsidR="00B624AA" w:rsidRPr="00B624AA">
        <w:rPr>
          <w:rFonts w:cs="Arial"/>
        </w:rPr>
        <w:t xml:space="preserve"> </w:t>
      </w:r>
      <w:r w:rsidR="00B624AA">
        <w:rPr>
          <w:rFonts w:cs="Arial"/>
        </w:rPr>
        <w:t>N</w:t>
      </w:r>
      <w:r w:rsidR="00B624AA" w:rsidRPr="00B624AA">
        <w:rPr>
          <w:rFonts w:cs="Arial"/>
        </w:rPr>
        <w:t xml:space="preserve">orthern </w:t>
      </w:r>
      <w:r w:rsidR="00B624AA">
        <w:rPr>
          <w:rFonts w:cs="Arial"/>
        </w:rPr>
        <w:t>Minnesota</w:t>
      </w:r>
      <w:r w:rsidR="00506597">
        <w:rPr>
          <w:rFonts w:cs="Arial"/>
        </w:rPr>
        <w:t>.</w:t>
      </w:r>
      <w:r w:rsidR="000D2992">
        <w:rPr>
          <w:rFonts w:cs="Arial"/>
        </w:rPr>
        <w:t xml:space="preserve"> </w:t>
      </w:r>
      <w:r w:rsidR="008D6169" w:rsidRPr="008D6169">
        <w:rPr>
          <w:rFonts w:cs="Arial"/>
          <w:u w:val="single"/>
        </w:rPr>
        <w:t>Defining and ada</w:t>
      </w:r>
      <w:r w:rsidR="000D2992" w:rsidRPr="008D6169">
        <w:rPr>
          <w:rFonts w:cs="Arial"/>
          <w:u w:val="single"/>
        </w:rPr>
        <w:t>pting 4R Nutrient Stewardship for the Red River Basin is critical to reducing the extent and severity of nutrient runoff from ag</w:t>
      </w:r>
      <w:r w:rsidR="00B260F3" w:rsidRPr="008D6169">
        <w:rPr>
          <w:rFonts w:cs="Arial"/>
          <w:u w:val="single"/>
        </w:rPr>
        <w:t>ricultural land to Minnesota’s freshwater lakes</w:t>
      </w:r>
      <w:r w:rsidR="000D2992" w:rsidRPr="008D6169">
        <w:rPr>
          <w:rFonts w:cs="Arial"/>
          <w:u w:val="single"/>
        </w:rPr>
        <w:t>.</w:t>
      </w:r>
      <w:r w:rsidR="00924745">
        <w:rPr>
          <w:rFonts w:cs="Arial"/>
        </w:rPr>
        <w:t xml:space="preserve"> Specific p</w:t>
      </w:r>
      <w:r w:rsidR="00337D1E">
        <w:rPr>
          <w:rFonts w:cs="Arial"/>
        </w:rPr>
        <w:t xml:space="preserve">roject </w:t>
      </w:r>
      <w:r w:rsidR="00924745">
        <w:rPr>
          <w:rFonts w:cs="Arial"/>
        </w:rPr>
        <w:t>o</w:t>
      </w:r>
      <w:r w:rsidR="00B624AA">
        <w:rPr>
          <w:rFonts w:cs="Arial"/>
        </w:rPr>
        <w:t>bjectives</w:t>
      </w:r>
      <w:r w:rsidR="00924745">
        <w:rPr>
          <w:rFonts w:cs="Arial"/>
        </w:rPr>
        <w:t xml:space="preserve"> include</w:t>
      </w:r>
      <w:r w:rsidR="00337D1E">
        <w:rPr>
          <w:rFonts w:cs="Arial"/>
        </w:rPr>
        <w:t>:</w:t>
      </w:r>
    </w:p>
    <w:p w:rsidR="00337D1E" w:rsidRPr="008D6169" w:rsidRDefault="00337D1E" w:rsidP="005B66B7">
      <w:pPr>
        <w:pStyle w:val="ListParagraph"/>
        <w:numPr>
          <w:ilvl w:val="0"/>
          <w:numId w:val="15"/>
        </w:numPr>
        <w:ind w:left="540"/>
        <w:jc w:val="both"/>
        <w:rPr>
          <w:rFonts w:cs="Arial"/>
        </w:rPr>
      </w:pPr>
      <w:r w:rsidRPr="008D6169">
        <w:rPr>
          <w:rFonts w:cs="Arial"/>
        </w:rPr>
        <w:t xml:space="preserve">Evaluate the dual water quality and </w:t>
      </w:r>
      <w:r w:rsidR="008D6169">
        <w:rPr>
          <w:rFonts w:cs="Arial"/>
        </w:rPr>
        <w:t>production</w:t>
      </w:r>
      <w:r w:rsidRPr="008D6169">
        <w:rPr>
          <w:rFonts w:cs="Arial"/>
        </w:rPr>
        <w:t xml:space="preserve"> benefits of 4R Nutrient Stewardship </w:t>
      </w:r>
      <w:r w:rsidR="008D6169">
        <w:rPr>
          <w:rFonts w:cs="Arial"/>
        </w:rPr>
        <w:t>in</w:t>
      </w:r>
      <w:r w:rsidRPr="008D6169">
        <w:rPr>
          <w:rFonts w:cs="Arial"/>
        </w:rPr>
        <w:t xml:space="preserve"> the Red River Basin</w:t>
      </w:r>
    </w:p>
    <w:p w:rsidR="00337D1E" w:rsidRPr="008D6169" w:rsidRDefault="00337D1E" w:rsidP="005B66B7">
      <w:pPr>
        <w:pStyle w:val="ListParagraph"/>
        <w:numPr>
          <w:ilvl w:val="0"/>
          <w:numId w:val="15"/>
        </w:numPr>
        <w:ind w:left="540"/>
        <w:jc w:val="both"/>
        <w:rPr>
          <w:rFonts w:cs="Arial"/>
        </w:rPr>
      </w:pPr>
      <w:r w:rsidRPr="008D6169">
        <w:rPr>
          <w:rFonts w:cs="Arial"/>
        </w:rPr>
        <w:t>Develop outrea</w:t>
      </w:r>
      <w:r w:rsidR="00BA64D1" w:rsidRPr="008D6169">
        <w:rPr>
          <w:rFonts w:cs="Arial"/>
        </w:rPr>
        <w:t xml:space="preserve">ch programming and resources </w:t>
      </w:r>
      <w:r w:rsidRPr="008D6169">
        <w:rPr>
          <w:rFonts w:cs="Arial"/>
        </w:rPr>
        <w:t xml:space="preserve">to engage with stakeholders </w:t>
      </w:r>
      <w:r w:rsidR="00BA64D1" w:rsidRPr="008D6169">
        <w:rPr>
          <w:rFonts w:cs="Arial"/>
        </w:rPr>
        <w:t>on</w:t>
      </w:r>
      <w:r w:rsidRPr="008D6169">
        <w:rPr>
          <w:rFonts w:cs="Arial"/>
        </w:rPr>
        <w:t xml:space="preserve"> 4R </w:t>
      </w:r>
      <w:r w:rsidR="00BA64D1" w:rsidRPr="008D6169">
        <w:rPr>
          <w:rFonts w:cs="Arial"/>
        </w:rPr>
        <w:t>Nutrient Stewardship</w:t>
      </w:r>
    </w:p>
    <w:p w:rsidR="00C02DAD" w:rsidRDefault="00C02DAD" w:rsidP="006E0EFD">
      <w:pPr>
        <w:rPr>
          <w:rFonts w:cs="Arial"/>
          <w:b/>
        </w:rPr>
      </w:pPr>
    </w:p>
    <w:p w:rsidR="006E0EFD" w:rsidRPr="009D6EC8" w:rsidRDefault="006E0EFD" w:rsidP="006E0EFD">
      <w:pPr>
        <w:rPr>
          <w:rFonts w:cs="Arial"/>
        </w:rPr>
      </w:pPr>
      <w:r w:rsidRPr="009D6EC8">
        <w:rPr>
          <w:rFonts w:cs="Arial"/>
          <w:b/>
        </w:rPr>
        <w:t xml:space="preserve">II. PROJECT </w:t>
      </w:r>
      <w:r w:rsidR="00A13F26" w:rsidRPr="009D6EC8">
        <w:rPr>
          <w:rFonts w:cs="Arial"/>
          <w:b/>
        </w:rPr>
        <w:t>ACTIVIT</w:t>
      </w:r>
      <w:r w:rsidR="00533120" w:rsidRPr="009D6EC8">
        <w:rPr>
          <w:rFonts w:cs="Arial"/>
          <w:b/>
        </w:rPr>
        <w:t>I</w:t>
      </w:r>
      <w:r w:rsidR="00A13F26" w:rsidRPr="009D6EC8">
        <w:rPr>
          <w:rFonts w:cs="Arial"/>
          <w:b/>
        </w:rPr>
        <w:t>ES</w:t>
      </w:r>
      <w:r w:rsidR="00614DF2">
        <w:rPr>
          <w:rFonts w:cs="Arial"/>
          <w:b/>
        </w:rPr>
        <w:t xml:space="preserve"> AND OUTCOMES</w:t>
      </w:r>
    </w:p>
    <w:p w:rsidR="006E0EFD" w:rsidRPr="009D6EC8" w:rsidRDefault="006E0EFD" w:rsidP="006E0EFD">
      <w:pPr>
        <w:rPr>
          <w:rFonts w:cs="Arial"/>
          <w:i/>
        </w:rPr>
      </w:pPr>
    </w:p>
    <w:tbl>
      <w:tblPr>
        <w:tblW w:w="10170" w:type="dxa"/>
        <w:tblLook w:val="04A0" w:firstRow="1" w:lastRow="0" w:firstColumn="1" w:lastColumn="0" w:noHBand="0" w:noVBand="1"/>
      </w:tblPr>
      <w:tblGrid>
        <w:gridCol w:w="8284"/>
        <w:gridCol w:w="1786"/>
        <w:gridCol w:w="100"/>
      </w:tblGrid>
      <w:tr w:rsidR="001254BA" w:rsidRPr="00EB5831" w:rsidTr="000F3B19">
        <w:tc>
          <w:tcPr>
            <w:tcW w:w="10170" w:type="dxa"/>
            <w:gridSpan w:val="3"/>
          </w:tcPr>
          <w:p w:rsidR="001254BA" w:rsidRPr="00806B06" w:rsidRDefault="001254BA" w:rsidP="005B66B7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</w:rPr>
            </w:pPr>
            <w:r w:rsidRPr="00EB5831">
              <w:rPr>
                <w:rFonts w:cs="Arial"/>
                <w:b/>
              </w:rPr>
              <w:t>Activity 1:</w:t>
            </w:r>
            <w:r>
              <w:rPr>
                <w:rFonts w:cs="Arial"/>
                <w:b/>
              </w:rPr>
              <w:t xml:space="preserve"> Establish a R</w:t>
            </w:r>
            <w:r w:rsidRPr="00A4604B">
              <w:rPr>
                <w:rFonts w:cs="Arial"/>
                <w:b/>
              </w:rPr>
              <w:t xml:space="preserve">esearch </w:t>
            </w:r>
            <w:r>
              <w:rPr>
                <w:rFonts w:cs="Arial"/>
                <w:b/>
              </w:rPr>
              <w:t>N</w:t>
            </w:r>
            <w:r w:rsidRPr="00A4604B">
              <w:rPr>
                <w:rFonts w:cs="Arial"/>
                <w:b/>
              </w:rPr>
              <w:t xml:space="preserve">etwork </w:t>
            </w:r>
            <w:r w:rsidR="00806B06">
              <w:rPr>
                <w:rFonts w:cs="Arial"/>
                <w:b/>
              </w:rPr>
              <w:t xml:space="preserve">North-to-South </w:t>
            </w:r>
            <w:r>
              <w:rPr>
                <w:rFonts w:cs="Arial"/>
                <w:b/>
              </w:rPr>
              <w:t>across the Red River Basin</w:t>
            </w:r>
            <w:r w:rsidR="00806B06">
              <w:rPr>
                <w:rFonts w:cs="Arial"/>
                <w:b/>
              </w:rPr>
              <w:t xml:space="preserve"> (</w:t>
            </w:r>
            <w:r w:rsidR="00806B06">
              <w:rPr>
                <w:rFonts w:cs="Arial"/>
                <w:b/>
                <w:bCs/>
                <w:color w:val="000000"/>
              </w:rPr>
              <w:t>ENRTF: $</w:t>
            </w:r>
            <w:r w:rsidR="00A976E4">
              <w:rPr>
                <w:rFonts w:cs="Arial"/>
                <w:b/>
                <w:bCs/>
                <w:color w:val="000000"/>
              </w:rPr>
              <w:t>266,665</w:t>
            </w:r>
            <w:bookmarkStart w:id="0" w:name="_GoBack"/>
            <w:bookmarkEnd w:id="0"/>
            <w:r w:rsidR="00806B06">
              <w:rPr>
                <w:rFonts w:cs="Arial"/>
                <w:b/>
              </w:rPr>
              <w:t>)</w:t>
            </w:r>
          </w:p>
          <w:p w:rsidR="001254BA" w:rsidRPr="00431DA6" w:rsidRDefault="00616844" w:rsidP="00431DA6">
            <w:pPr>
              <w:widowControl w:val="0"/>
              <w:jc w:val="both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W</w:t>
            </w:r>
            <w:r w:rsidR="001254BA">
              <w:rPr>
                <w:rFonts w:cs="Arial"/>
                <w:i/>
              </w:rPr>
              <w:t xml:space="preserve">e propose to form a basin-wide, regional research network. This research network will collaborate with, and build upon four (4) existing research sites from the Minnesota Department of Agriculture </w:t>
            </w:r>
            <w:r w:rsidR="001254BA" w:rsidRPr="00A4604B">
              <w:rPr>
                <w:rFonts w:cs="Arial"/>
                <w:i/>
                <w:u w:val="single"/>
              </w:rPr>
              <w:t>Minnesota Agricultural Water Resource Center’s Discovery Farms Program</w:t>
            </w:r>
            <w:r w:rsidR="001254BA" w:rsidRPr="00A4604B">
              <w:rPr>
                <w:rFonts w:cs="Arial"/>
                <w:i/>
              </w:rPr>
              <w:t>, and one (1) existing EOF research site in Manitoba in partnership with</w:t>
            </w:r>
            <w:r w:rsidR="00506597">
              <w:rPr>
                <w:rFonts w:cs="Arial"/>
                <w:i/>
              </w:rPr>
              <w:t xml:space="preserve"> Canada’s</w:t>
            </w:r>
            <w:r w:rsidR="001254BA" w:rsidRPr="00A4604B">
              <w:rPr>
                <w:rFonts w:cs="Arial"/>
                <w:i/>
              </w:rPr>
              <w:t xml:space="preserve"> </w:t>
            </w:r>
            <w:r w:rsidR="001254BA" w:rsidRPr="00A4604B">
              <w:rPr>
                <w:rFonts w:cs="Arial"/>
                <w:i/>
                <w:u w:val="single"/>
              </w:rPr>
              <w:t>Agricultural Water Futures</w:t>
            </w:r>
            <w:r w:rsidR="001254BA" w:rsidRPr="00A4604B">
              <w:rPr>
                <w:rFonts w:cs="Arial"/>
                <w:i/>
              </w:rPr>
              <w:t xml:space="preserve">. Existing EOF data </w:t>
            </w:r>
            <w:proofErr w:type="gramStart"/>
            <w:r w:rsidR="001254BA" w:rsidRPr="00A4604B">
              <w:rPr>
                <w:rFonts w:cs="Arial"/>
                <w:i/>
              </w:rPr>
              <w:t>will be analyzed</w:t>
            </w:r>
            <w:proofErr w:type="gramEnd"/>
            <w:r w:rsidR="001254BA" w:rsidRPr="00A4604B">
              <w:rPr>
                <w:rFonts w:cs="Arial"/>
                <w:i/>
              </w:rPr>
              <w:t xml:space="preserve"> collectively with data from t</w:t>
            </w:r>
            <w:r w:rsidR="000D2992">
              <w:rPr>
                <w:rFonts w:cs="Arial"/>
                <w:i/>
              </w:rPr>
              <w:t>wo</w:t>
            </w:r>
            <w:r w:rsidR="001254BA" w:rsidRPr="00A4604B">
              <w:rPr>
                <w:rFonts w:cs="Arial"/>
                <w:i/>
              </w:rPr>
              <w:t xml:space="preserve"> </w:t>
            </w:r>
            <w:r w:rsidR="000D2992">
              <w:rPr>
                <w:rFonts w:cs="Arial"/>
                <w:i/>
              </w:rPr>
              <w:t>(2</w:t>
            </w:r>
            <w:r w:rsidR="001254BA" w:rsidRPr="00A4604B">
              <w:rPr>
                <w:rFonts w:cs="Arial"/>
                <w:i/>
              </w:rPr>
              <w:t>) new EOF sites in Minnesota. Adding</w:t>
            </w:r>
            <w:r w:rsidR="008375CB">
              <w:rPr>
                <w:rFonts w:cs="Arial"/>
                <w:i/>
              </w:rPr>
              <w:t xml:space="preserve"> two</w:t>
            </w:r>
            <w:r w:rsidR="001254BA" w:rsidRPr="00A4604B">
              <w:rPr>
                <w:rFonts w:cs="Arial"/>
                <w:i/>
              </w:rPr>
              <w:t xml:space="preserve"> </w:t>
            </w:r>
            <w:r w:rsidR="00506597">
              <w:rPr>
                <w:rFonts w:cs="Arial"/>
                <w:i/>
              </w:rPr>
              <w:t>new</w:t>
            </w:r>
            <w:r w:rsidR="001254BA" w:rsidRPr="00A4604B">
              <w:rPr>
                <w:rFonts w:cs="Arial"/>
                <w:i/>
              </w:rPr>
              <w:t xml:space="preserve"> res</w:t>
            </w:r>
            <w:r w:rsidR="001254BA">
              <w:rPr>
                <w:rFonts w:cs="Arial"/>
                <w:i/>
              </w:rPr>
              <w:t>earch sites to this effort will s</w:t>
            </w:r>
            <w:r w:rsidR="001254BA" w:rsidRPr="001254BA">
              <w:rPr>
                <w:rFonts w:cs="Arial"/>
                <w:i/>
              </w:rPr>
              <w:t>trengthen the reliability of project findings through replication of results over time and</w:t>
            </w:r>
            <w:r w:rsidR="008375CB">
              <w:rPr>
                <w:rFonts w:cs="Arial"/>
                <w:i/>
              </w:rPr>
              <w:t xml:space="preserve"> broader coverage</w:t>
            </w:r>
            <w:r w:rsidR="001254BA" w:rsidRPr="001254BA">
              <w:rPr>
                <w:rFonts w:cs="Arial"/>
                <w:i/>
              </w:rPr>
              <w:t xml:space="preserve"> across landscapes.</w:t>
            </w:r>
          </w:p>
          <w:p w:rsidR="001254BA" w:rsidRPr="00217C2A" w:rsidRDefault="001254BA" w:rsidP="00806B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E0EFD" w:rsidRPr="009D6EC8" w:rsidTr="000F3B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5" w:type="dxa"/>
        </w:trPr>
        <w:tc>
          <w:tcPr>
            <w:tcW w:w="8284" w:type="dxa"/>
          </w:tcPr>
          <w:p w:rsidR="006E0EFD" w:rsidRPr="009D6EC8" w:rsidRDefault="00A13F26" w:rsidP="006E0EFD">
            <w:pPr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Outcome</w:t>
            </w:r>
          </w:p>
        </w:tc>
        <w:tc>
          <w:tcPr>
            <w:tcW w:w="1786" w:type="dxa"/>
          </w:tcPr>
          <w:p w:rsidR="006E0EFD" w:rsidRPr="009D6EC8" w:rsidRDefault="006E0EFD" w:rsidP="005F7237">
            <w:pPr>
              <w:jc w:val="center"/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Completion Date</w:t>
            </w:r>
          </w:p>
        </w:tc>
      </w:tr>
      <w:tr w:rsidR="006E0EFD" w:rsidRPr="009D6EC8" w:rsidTr="000F3B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5" w:type="dxa"/>
        </w:trPr>
        <w:tc>
          <w:tcPr>
            <w:tcW w:w="8284" w:type="dxa"/>
          </w:tcPr>
          <w:p w:rsidR="006E0EFD" w:rsidRPr="009D6EC8" w:rsidRDefault="006E0EFD" w:rsidP="008949EE">
            <w:pPr>
              <w:rPr>
                <w:rFonts w:cs="Arial"/>
                <w:i/>
              </w:rPr>
            </w:pPr>
            <w:r w:rsidRPr="009D6EC8">
              <w:rPr>
                <w:rFonts w:cs="Arial"/>
                <w:i/>
              </w:rPr>
              <w:t xml:space="preserve">1. </w:t>
            </w:r>
            <w:r w:rsidR="008248CC">
              <w:rPr>
                <w:rFonts w:cs="Arial"/>
                <w:i/>
              </w:rPr>
              <w:t>Install monitoring equipment to e</w:t>
            </w:r>
            <w:r w:rsidR="00BA64D1">
              <w:rPr>
                <w:rFonts w:cs="Arial"/>
                <w:i/>
              </w:rPr>
              <w:t>stablish two new edge-of-field research sites in Northern Minnesota</w:t>
            </w:r>
            <w:r w:rsidRPr="009D6EC8">
              <w:rPr>
                <w:rFonts w:cs="Arial"/>
                <w:i/>
              </w:rPr>
              <w:t xml:space="preserve"> </w:t>
            </w:r>
          </w:p>
        </w:tc>
        <w:tc>
          <w:tcPr>
            <w:tcW w:w="1786" w:type="dxa"/>
          </w:tcPr>
          <w:p w:rsidR="006E0EFD" w:rsidRPr="009D6EC8" w:rsidRDefault="008248CC" w:rsidP="006E0EFD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Spring 2020</w:t>
            </w:r>
          </w:p>
        </w:tc>
      </w:tr>
      <w:tr w:rsidR="006E0EFD" w:rsidRPr="009D6EC8" w:rsidTr="000F3B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5" w:type="dxa"/>
        </w:trPr>
        <w:tc>
          <w:tcPr>
            <w:tcW w:w="8284" w:type="dxa"/>
          </w:tcPr>
          <w:p w:rsidR="006E0EFD" w:rsidRPr="009D6EC8" w:rsidRDefault="00BA64D1" w:rsidP="008949EE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2. Collect baseline data on nutrient loss and farmer management practices</w:t>
            </w:r>
          </w:p>
        </w:tc>
        <w:tc>
          <w:tcPr>
            <w:tcW w:w="1786" w:type="dxa"/>
          </w:tcPr>
          <w:p w:rsidR="006E0EFD" w:rsidRPr="009D6EC8" w:rsidRDefault="008248CC" w:rsidP="006E0EFD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Spring 2022</w:t>
            </w:r>
          </w:p>
        </w:tc>
      </w:tr>
      <w:tr w:rsidR="007F2C06" w:rsidRPr="009D6EC8" w:rsidTr="000F3B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5" w:type="dxa"/>
        </w:trPr>
        <w:tc>
          <w:tcPr>
            <w:tcW w:w="8284" w:type="dxa"/>
          </w:tcPr>
          <w:p w:rsidR="007F2C06" w:rsidRDefault="007F2C06" w:rsidP="00174FEF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3. Network of nutrient loss results </w:t>
            </w:r>
            <w:r w:rsidR="00174FEF">
              <w:rPr>
                <w:rFonts w:cs="Arial"/>
                <w:i/>
              </w:rPr>
              <w:t>spanning</w:t>
            </w:r>
            <w:r>
              <w:rPr>
                <w:rFonts w:cs="Arial"/>
                <w:i/>
              </w:rPr>
              <w:t xml:space="preserve"> from north to south across </w:t>
            </w:r>
            <w:r w:rsidR="00174FEF">
              <w:rPr>
                <w:rFonts w:cs="Arial"/>
                <w:i/>
              </w:rPr>
              <w:t>the Red River Basin</w:t>
            </w:r>
          </w:p>
        </w:tc>
        <w:tc>
          <w:tcPr>
            <w:tcW w:w="1786" w:type="dxa"/>
          </w:tcPr>
          <w:p w:rsidR="007F2C06" w:rsidRDefault="00174FEF" w:rsidP="006E0EFD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Spring 2022</w:t>
            </w:r>
          </w:p>
        </w:tc>
      </w:tr>
      <w:tr w:rsidR="008248CC" w:rsidRPr="009D6EC8" w:rsidTr="000F3B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5" w:type="dxa"/>
        </w:trPr>
        <w:tc>
          <w:tcPr>
            <w:tcW w:w="8284" w:type="dxa"/>
          </w:tcPr>
          <w:p w:rsidR="008248CC" w:rsidRDefault="007F2C06" w:rsidP="008949EE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4</w:t>
            </w:r>
            <w:r w:rsidR="008248CC">
              <w:rPr>
                <w:rFonts w:cs="Arial"/>
                <w:i/>
              </w:rPr>
              <w:t>. Publish one peer-reviewed synthesis paper of nutrient loss trends in Red River Basin</w:t>
            </w:r>
          </w:p>
        </w:tc>
        <w:tc>
          <w:tcPr>
            <w:tcW w:w="1786" w:type="dxa"/>
          </w:tcPr>
          <w:p w:rsidR="008248CC" w:rsidRDefault="008248CC" w:rsidP="006E0EFD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Spring 2023</w:t>
            </w:r>
          </w:p>
        </w:tc>
      </w:tr>
    </w:tbl>
    <w:p w:rsidR="00C02DAD" w:rsidRDefault="00C02DAD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i/>
        </w:rPr>
      </w:pPr>
    </w:p>
    <w:tbl>
      <w:tblPr>
        <w:tblW w:w="10170" w:type="dxa"/>
        <w:tblLook w:val="04A0" w:firstRow="1" w:lastRow="0" w:firstColumn="1" w:lastColumn="0" w:noHBand="0" w:noVBand="1"/>
      </w:tblPr>
      <w:tblGrid>
        <w:gridCol w:w="8284"/>
        <w:gridCol w:w="1786"/>
        <w:gridCol w:w="100"/>
      </w:tblGrid>
      <w:tr w:rsidR="001254BA" w:rsidRPr="00EB5831" w:rsidTr="000F3B19">
        <w:tc>
          <w:tcPr>
            <w:tcW w:w="10170" w:type="dxa"/>
            <w:gridSpan w:val="3"/>
          </w:tcPr>
          <w:p w:rsidR="001254BA" w:rsidRPr="00806B06" w:rsidRDefault="001254BA" w:rsidP="005B66B7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</w:rPr>
              <w:t>Activity 2</w:t>
            </w:r>
            <w:r w:rsidRPr="00EB5831">
              <w:rPr>
                <w:rFonts w:cs="Arial"/>
                <w:b/>
              </w:rPr>
              <w:t>:</w:t>
            </w:r>
            <w:r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  <w:i/>
              </w:rPr>
              <w:t>Quantify</w:t>
            </w:r>
            <w:r w:rsidR="00806B06">
              <w:rPr>
                <w:rFonts w:cs="Arial"/>
                <w:b/>
                <w:i/>
              </w:rPr>
              <w:t xml:space="preserve"> nutrient loss reduction when using</w:t>
            </w:r>
            <w:r w:rsidRPr="001254BA">
              <w:rPr>
                <w:rFonts w:cs="Arial"/>
                <w:b/>
                <w:i/>
              </w:rPr>
              <w:t xml:space="preserve"> </w:t>
            </w:r>
            <w:r w:rsidR="00806B06">
              <w:rPr>
                <w:rFonts w:cs="Arial"/>
                <w:b/>
                <w:i/>
              </w:rPr>
              <w:t>“Right Placement”</w:t>
            </w:r>
            <w:r w:rsidRPr="001254BA">
              <w:rPr>
                <w:rFonts w:cs="Arial"/>
                <w:b/>
                <w:i/>
              </w:rPr>
              <w:t xml:space="preserve"> on</w:t>
            </w:r>
            <w:r>
              <w:rPr>
                <w:rFonts w:cs="Arial"/>
                <w:b/>
                <w:i/>
              </w:rPr>
              <w:t xml:space="preserve"> nutrient loss</w:t>
            </w:r>
            <w:r w:rsidRPr="001254BA">
              <w:rPr>
                <w:rFonts w:cs="Arial"/>
                <w:b/>
                <w:i/>
              </w:rPr>
              <w:t xml:space="preserve"> in </w:t>
            </w:r>
            <w:r w:rsidR="00B77B2B">
              <w:rPr>
                <w:rFonts w:cs="Arial"/>
                <w:b/>
                <w:i/>
              </w:rPr>
              <w:t>drained and undrained fields</w:t>
            </w:r>
            <w:r w:rsidR="00806B06">
              <w:rPr>
                <w:rFonts w:cs="Arial"/>
                <w:b/>
                <w:i/>
              </w:rPr>
              <w:t xml:space="preserve"> (</w:t>
            </w:r>
            <w:r w:rsidR="00806B06">
              <w:rPr>
                <w:rFonts w:cs="Arial"/>
                <w:b/>
                <w:bCs/>
                <w:color w:val="000000"/>
              </w:rPr>
              <w:t>ENRTF: $165,565)</w:t>
            </w:r>
          </w:p>
          <w:p w:rsidR="001254BA" w:rsidRPr="001254BA" w:rsidRDefault="001254BA" w:rsidP="00B77B2B">
            <w:pPr>
              <w:widowControl w:val="0"/>
              <w:jc w:val="both"/>
              <w:rPr>
                <w:rFonts w:cs="Arial"/>
                <w:i/>
              </w:rPr>
            </w:pPr>
            <w:r w:rsidRPr="001254BA">
              <w:rPr>
                <w:rFonts w:cs="Arial"/>
                <w:i/>
              </w:rPr>
              <w:t xml:space="preserve">We propose to conduct a coordinated field experiment on fertilizer placement on four of </w:t>
            </w:r>
            <w:r w:rsidR="00174FEF">
              <w:rPr>
                <w:rFonts w:cs="Arial"/>
                <w:i/>
              </w:rPr>
              <w:t>the field sites included in the</w:t>
            </w:r>
            <w:r w:rsidRPr="001254BA">
              <w:rPr>
                <w:rFonts w:cs="Arial"/>
                <w:i/>
              </w:rPr>
              <w:t xml:space="preserve"> Research Network.</w:t>
            </w:r>
            <w:r w:rsidR="00616844">
              <w:rPr>
                <w:rFonts w:cs="Arial"/>
                <w:i/>
              </w:rPr>
              <w:t xml:space="preserve"> Activity 2 builds on Activity 1 to quantify the impact of 4R Nutrient Stewardship practices on the productivity, profitability, and environmental sustainability of crop production for the Red River Basin</w:t>
            </w:r>
            <w:r w:rsidR="008D6169">
              <w:rPr>
                <w:rFonts w:cs="Arial"/>
                <w:i/>
              </w:rPr>
              <w:t>.</w:t>
            </w:r>
            <w:r w:rsidRPr="001254BA">
              <w:rPr>
                <w:rFonts w:cs="Arial"/>
                <w:i/>
              </w:rPr>
              <w:t xml:space="preserve"> Three fields will be located on glacial lakebed soils in the northern, central, and southern portions of the Red River Basin. A fourth site will be located in the central basin on the sandy soils of the Lake Agassiz beach ridge. This experiment will evaluate four treatments at each site location:</w:t>
            </w:r>
          </w:p>
          <w:p w:rsidR="001254BA" w:rsidRPr="001254BA" w:rsidRDefault="001254BA" w:rsidP="001254BA">
            <w:pPr>
              <w:widowControl w:val="0"/>
              <w:numPr>
                <w:ilvl w:val="0"/>
                <w:numId w:val="13"/>
              </w:numPr>
              <w:rPr>
                <w:rFonts w:cs="Arial"/>
                <w:i/>
              </w:rPr>
            </w:pPr>
            <w:r w:rsidRPr="001254BA">
              <w:rPr>
                <w:rFonts w:cs="Arial"/>
                <w:i/>
              </w:rPr>
              <w:lastRenderedPageBreak/>
              <w:t>Subsurface Drainage, fertilizer incorporated</w:t>
            </w:r>
            <w:r>
              <w:rPr>
                <w:rFonts w:cs="Arial"/>
                <w:i/>
              </w:rPr>
              <w:t xml:space="preserve"> with tillage</w:t>
            </w:r>
          </w:p>
          <w:p w:rsidR="001254BA" w:rsidRPr="001254BA" w:rsidRDefault="001254BA" w:rsidP="001254BA">
            <w:pPr>
              <w:widowControl w:val="0"/>
              <w:numPr>
                <w:ilvl w:val="0"/>
                <w:numId w:val="13"/>
              </w:numPr>
              <w:rPr>
                <w:rFonts w:cs="Arial"/>
                <w:i/>
              </w:rPr>
            </w:pPr>
            <w:r w:rsidRPr="001254BA">
              <w:rPr>
                <w:rFonts w:cs="Arial"/>
                <w:i/>
              </w:rPr>
              <w:t>Subsurface Drainage, fertilizer</w:t>
            </w:r>
            <w:r>
              <w:rPr>
                <w:rFonts w:cs="Arial"/>
                <w:i/>
              </w:rPr>
              <w:t xml:space="preserve"> injected or banded into the root zone (subsurface </w:t>
            </w:r>
            <w:r w:rsidRPr="001254BA">
              <w:rPr>
                <w:rFonts w:cs="Arial"/>
                <w:i/>
              </w:rPr>
              <w:t>placement</w:t>
            </w:r>
            <w:r>
              <w:rPr>
                <w:rFonts w:cs="Arial"/>
                <w:i/>
              </w:rPr>
              <w:t>)</w:t>
            </w:r>
          </w:p>
          <w:p w:rsidR="001254BA" w:rsidRPr="001254BA" w:rsidRDefault="001254BA" w:rsidP="001254BA">
            <w:pPr>
              <w:widowControl w:val="0"/>
              <w:numPr>
                <w:ilvl w:val="0"/>
                <w:numId w:val="13"/>
              </w:numPr>
              <w:rPr>
                <w:rFonts w:cs="Arial"/>
                <w:i/>
              </w:rPr>
            </w:pPr>
            <w:r w:rsidRPr="001254BA">
              <w:rPr>
                <w:rFonts w:cs="Arial"/>
                <w:i/>
              </w:rPr>
              <w:t>No subsurface drainage, fertilizer incorporated</w:t>
            </w:r>
            <w:r>
              <w:rPr>
                <w:rFonts w:cs="Arial"/>
                <w:i/>
              </w:rPr>
              <w:t xml:space="preserve"> with tillage</w:t>
            </w:r>
          </w:p>
          <w:p w:rsidR="001254BA" w:rsidRPr="00431DA6" w:rsidRDefault="001254BA" w:rsidP="00431DA6">
            <w:pPr>
              <w:widowControl w:val="0"/>
              <w:numPr>
                <w:ilvl w:val="0"/>
                <w:numId w:val="13"/>
              </w:numPr>
              <w:rPr>
                <w:rFonts w:cs="Arial"/>
                <w:i/>
              </w:rPr>
            </w:pPr>
            <w:r w:rsidRPr="001254BA">
              <w:rPr>
                <w:rFonts w:cs="Arial"/>
                <w:i/>
              </w:rPr>
              <w:t>No subsurface drainage, fertilizer</w:t>
            </w:r>
            <w:r>
              <w:rPr>
                <w:rFonts w:cs="Arial"/>
                <w:i/>
              </w:rPr>
              <w:t xml:space="preserve"> injected or banded into the root zone (subsurface </w:t>
            </w:r>
            <w:r w:rsidRPr="001254BA">
              <w:rPr>
                <w:rFonts w:cs="Arial"/>
                <w:i/>
              </w:rPr>
              <w:t>placement</w:t>
            </w:r>
            <w:r>
              <w:rPr>
                <w:rFonts w:cs="Arial"/>
                <w:i/>
              </w:rPr>
              <w:t>)</w:t>
            </w:r>
          </w:p>
          <w:p w:rsidR="001254BA" w:rsidRPr="00217C2A" w:rsidRDefault="001254BA" w:rsidP="00806B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254BA" w:rsidRPr="009D6EC8" w:rsidTr="000F3B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5" w:type="dxa"/>
        </w:trPr>
        <w:tc>
          <w:tcPr>
            <w:tcW w:w="8284" w:type="dxa"/>
          </w:tcPr>
          <w:p w:rsidR="001254BA" w:rsidRPr="009D6EC8" w:rsidRDefault="001254BA" w:rsidP="00DE0ED2">
            <w:pPr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lastRenderedPageBreak/>
              <w:t>Outcome</w:t>
            </w:r>
          </w:p>
        </w:tc>
        <w:tc>
          <w:tcPr>
            <w:tcW w:w="1786" w:type="dxa"/>
          </w:tcPr>
          <w:p w:rsidR="001254BA" w:rsidRPr="009D6EC8" w:rsidRDefault="001254BA" w:rsidP="00DE0ED2">
            <w:pPr>
              <w:jc w:val="center"/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Completion Date</w:t>
            </w:r>
          </w:p>
        </w:tc>
      </w:tr>
      <w:tr w:rsidR="001254BA" w:rsidRPr="009D6EC8" w:rsidTr="000F3B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5" w:type="dxa"/>
        </w:trPr>
        <w:tc>
          <w:tcPr>
            <w:tcW w:w="8284" w:type="dxa"/>
          </w:tcPr>
          <w:p w:rsidR="001254BA" w:rsidRPr="009D6EC8" w:rsidRDefault="001254BA" w:rsidP="00DE0ED2">
            <w:pPr>
              <w:rPr>
                <w:rFonts w:cs="Arial"/>
                <w:i/>
              </w:rPr>
            </w:pPr>
            <w:r w:rsidRPr="009D6EC8">
              <w:rPr>
                <w:rFonts w:cs="Arial"/>
                <w:i/>
              </w:rPr>
              <w:t xml:space="preserve">1.  </w:t>
            </w:r>
            <w:r w:rsidR="008248CC">
              <w:rPr>
                <w:rFonts w:cs="Arial"/>
                <w:i/>
              </w:rPr>
              <w:t>Conduct coordinated fertilizer placement experiment</w:t>
            </w:r>
          </w:p>
        </w:tc>
        <w:tc>
          <w:tcPr>
            <w:tcW w:w="1786" w:type="dxa"/>
          </w:tcPr>
          <w:p w:rsidR="001254BA" w:rsidRPr="009D6EC8" w:rsidRDefault="008248CC" w:rsidP="00DE0ED2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Spring 2024</w:t>
            </w:r>
          </w:p>
        </w:tc>
      </w:tr>
      <w:tr w:rsidR="007F2C06" w:rsidRPr="009D6EC8" w:rsidTr="000F3B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5" w:type="dxa"/>
        </w:trPr>
        <w:tc>
          <w:tcPr>
            <w:tcW w:w="8284" w:type="dxa"/>
          </w:tcPr>
          <w:p w:rsidR="007F2C06" w:rsidRPr="009D6EC8" w:rsidRDefault="007F2C06" w:rsidP="007F2C06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2.  Critical findings on the interactions of fertilizer management and off-site nutrient loss</w:t>
            </w:r>
          </w:p>
        </w:tc>
        <w:tc>
          <w:tcPr>
            <w:tcW w:w="1786" w:type="dxa"/>
          </w:tcPr>
          <w:p w:rsidR="007F2C06" w:rsidRDefault="007F2C06" w:rsidP="00DE0ED2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Spring 2024</w:t>
            </w:r>
          </w:p>
        </w:tc>
      </w:tr>
      <w:tr w:rsidR="001254BA" w:rsidRPr="009D6EC8" w:rsidTr="000F3B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5" w:type="dxa"/>
        </w:trPr>
        <w:tc>
          <w:tcPr>
            <w:tcW w:w="8284" w:type="dxa"/>
          </w:tcPr>
          <w:p w:rsidR="001254BA" w:rsidRPr="009D6EC8" w:rsidRDefault="001254BA" w:rsidP="008248CC">
            <w:pPr>
              <w:rPr>
                <w:rFonts w:cs="Arial"/>
                <w:i/>
              </w:rPr>
            </w:pPr>
            <w:r w:rsidRPr="009D6EC8">
              <w:rPr>
                <w:rFonts w:cs="Arial"/>
                <w:i/>
              </w:rPr>
              <w:t xml:space="preserve">2.  </w:t>
            </w:r>
            <w:r w:rsidR="008248CC">
              <w:rPr>
                <w:rFonts w:cs="Arial"/>
                <w:i/>
              </w:rPr>
              <w:t>Publish one peer-reviewed journal article on experimental findings</w:t>
            </w:r>
          </w:p>
        </w:tc>
        <w:tc>
          <w:tcPr>
            <w:tcW w:w="1786" w:type="dxa"/>
          </w:tcPr>
          <w:p w:rsidR="001254BA" w:rsidRPr="009D6EC8" w:rsidRDefault="008248CC" w:rsidP="008248CC">
            <w:pPr>
              <w:jc w:val="both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June 30, 2024</w:t>
            </w:r>
          </w:p>
        </w:tc>
      </w:tr>
    </w:tbl>
    <w:p w:rsidR="001254BA" w:rsidRDefault="001254BA" w:rsidP="001254BA">
      <w:pPr>
        <w:tabs>
          <w:tab w:val="left" w:pos="540"/>
        </w:tabs>
        <w:autoSpaceDE w:val="0"/>
        <w:autoSpaceDN w:val="0"/>
        <w:adjustRightInd w:val="0"/>
        <w:rPr>
          <w:rFonts w:cs="Arial"/>
          <w:i/>
        </w:rPr>
      </w:pPr>
    </w:p>
    <w:tbl>
      <w:tblPr>
        <w:tblW w:w="10170" w:type="dxa"/>
        <w:tblLook w:val="04A0" w:firstRow="1" w:lastRow="0" w:firstColumn="1" w:lastColumn="0" w:noHBand="0" w:noVBand="1"/>
      </w:tblPr>
      <w:tblGrid>
        <w:gridCol w:w="8285"/>
        <w:gridCol w:w="1785"/>
        <w:gridCol w:w="100"/>
      </w:tblGrid>
      <w:tr w:rsidR="00506597" w:rsidRPr="00EB5831" w:rsidTr="000F3B19">
        <w:tc>
          <w:tcPr>
            <w:tcW w:w="10170" w:type="dxa"/>
            <w:gridSpan w:val="3"/>
          </w:tcPr>
          <w:p w:rsidR="00806B06" w:rsidRPr="00806B06" w:rsidRDefault="00506597" w:rsidP="005B66B7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</w:rPr>
              <w:t>Activity 3</w:t>
            </w:r>
            <w:r w:rsidRPr="00EB5831">
              <w:rPr>
                <w:rFonts w:cs="Arial"/>
                <w:b/>
              </w:rPr>
              <w:t>:</w:t>
            </w:r>
            <w:r>
              <w:rPr>
                <w:rFonts w:cs="Arial"/>
                <w:b/>
              </w:rPr>
              <w:t xml:space="preserve"> </w:t>
            </w:r>
            <w:r w:rsidRPr="00506597">
              <w:rPr>
                <w:rFonts w:cs="Arial"/>
                <w:b/>
              </w:rPr>
              <w:t>Develop outreach programming and resources on 4R Nutrient Stewardship</w:t>
            </w:r>
            <w:r w:rsidR="00806B06">
              <w:rPr>
                <w:rFonts w:cs="Arial"/>
                <w:b/>
              </w:rPr>
              <w:t xml:space="preserve"> (</w:t>
            </w:r>
            <w:r w:rsidR="00806B06">
              <w:rPr>
                <w:rFonts w:cs="Arial"/>
                <w:b/>
                <w:bCs/>
                <w:color w:val="000000"/>
              </w:rPr>
              <w:t>ENRTF BUDGET: $26,987)</w:t>
            </w:r>
          </w:p>
          <w:p w:rsidR="00506597" w:rsidRPr="00431DA6" w:rsidRDefault="00506597" w:rsidP="00431DA6">
            <w:pPr>
              <w:widowControl w:val="0"/>
              <w:jc w:val="both"/>
              <w:rPr>
                <w:rFonts w:cs="Arial"/>
                <w:i/>
              </w:rPr>
            </w:pPr>
            <w:r w:rsidRPr="00506597">
              <w:rPr>
                <w:rFonts w:cs="Arial"/>
                <w:i/>
              </w:rPr>
              <w:t>Engagement with stakeholders is critical to adoption of sustainab</w:t>
            </w:r>
            <w:r w:rsidR="00924745">
              <w:rPr>
                <w:rFonts w:cs="Arial"/>
                <w:i/>
              </w:rPr>
              <w:t>le nutrient management</w:t>
            </w:r>
            <w:r w:rsidRPr="00506597">
              <w:rPr>
                <w:rFonts w:cs="Arial"/>
                <w:i/>
              </w:rPr>
              <w:t xml:space="preserve">. </w:t>
            </w:r>
            <w:r w:rsidR="00924745">
              <w:rPr>
                <w:rFonts w:cs="Arial"/>
                <w:i/>
              </w:rPr>
              <w:t>O</w:t>
            </w:r>
            <w:r w:rsidR="00BA64D1">
              <w:rPr>
                <w:rFonts w:cs="Arial"/>
                <w:i/>
              </w:rPr>
              <w:t>ur team will</w:t>
            </w:r>
            <w:r w:rsidRPr="00506597">
              <w:rPr>
                <w:rFonts w:cs="Arial"/>
                <w:i/>
              </w:rPr>
              <w:t xml:space="preserve"> </w:t>
            </w:r>
            <w:r w:rsidR="00924745">
              <w:rPr>
                <w:rFonts w:cs="Arial"/>
                <w:i/>
              </w:rPr>
              <w:t>produce</w:t>
            </w:r>
            <w:r w:rsidRPr="00506597">
              <w:rPr>
                <w:rFonts w:cs="Arial"/>
                <w:i/>
              </w:rPr>
              <w:t xml:space="preserve"> outreach materials from the start of the project</w:t>
            </w:r>
            <w:r w:rsidR="00924745">
              <w:rPr>
                <w:rFonts w:cs="Arial"/>
                <w:i/>
              </w:rPr>
              <w:t xml:space="preserve"> using data from</w:t>
            </w:r>
            <w:r w:rsidR="00924745" w:rsidRPr="00506597">
              <w:rPr>
                <w:rFonts w:cs="Arial"/>
                <w:i/>
              </w:rPr>
              <w:t xml:space="preserve"> on-going and current pr</w:t>
            </w:r>
            <w:r w:rsidR="00924745">
              <w:rPr>
                <w:rFonts w:cs="Arial"/>
                <w:i/>
              </w:rPr>
              <w:t>ojects</w:t>
            </w:r>
            <w:r w:rsidRPr="00506597">
              <w:rPr>
                <w:rFonts w:cs="Arial"/>
                <w:i/>
              </w:rPr>
              <w:t xml:space="preserve">. As </w:t>
            </w:r>
            <w:r>
              <w:rPr>
                <w:rFonts w:cs="Arial"/>
                <w:i/>
              </w:rPr>
              <w:t>Activities</w:t>
            </w:r>
            <w:r w:rsidR="00BA64D1">
              <w:rPr>
                <w:rFonts w:cs="Arial"/>
                <w:i/>
              </w:rPr>
              <w:t xml:space="preserve"> 1 and 2 progress</w:t>
            </w:r>
            <w:r w:rsidRPr="00506597">
              <w:rPr>
                <w:rFonts w:cs="Arial"/>
                <w:i/>
              </w:rPr>
              <w:t xml:space="preserve">, we will </w:t>
            </w:r>
            <w:r w:rsidR="008375CB">
              <w:rPr>
                <w:rFonts w:cs="Arial"/>
                <w:i/>
              </w:rPr>
              <w:t>build on these</w:t>
            </w:r>
            <w:r w:rsidRPr="00506597">
              <w:rPr>
                <w:rFonts w:cs="Arial"/>
                <w:i/>
              </w:rPr>
              <w:t xml:space="preserve"> materials </w:t>
            </w:r>
            <w:r w:rsidR="008375CB">
              <w:rPr>
                <w:rFonts w:cs="Arial"/>
                <w:i/>
              </w:rPr>
              <w:t>and</w:t>
            </w:r>
            <w:r w:rsidRPr="00506597">
              <w:rPr>
                <w:rFonts w:cs="Arial"/>
                <w:i/>
              </w:rPr>
              <w:t xml:space="preserve"> share with the stakeholder networks of the project partner</w:t>
            </w:r>
            <w:r w:rsidR="00924745">
              <w:rPr>
                <w:rFonts w:cs="Arial"/>
                <w:i/>
              </w:rPr>
              <w:t>s. Stakeholders</w:t>
            </w:r>
            <w:r w:rsidRPr="00506597">
              <w:rPr>
                <w:rFonts w:cs="Arial"/>
                <w:i/>
              </w:rPr>
              <w:t xml:space="preserve"> include growers, nutrient service providers (including co-op agronomists and crop consultants), research and exte</w:t>
            </w:r>
            <w:r w:rsidR="00924745">
              <w:rPr>
                <w:rFonts w:cs="Arial"/>
                <w:i/>
              </w:rPr>
              <w:t>nsion personnel,</w:t>
            </w:r>
            <w:r w:rsidRPr="00506597">
              <w:rPr>
                <w:rFonts w:cs="Arial"/>
                <w:i/>
              </w:rPr>
              <w:t xml:space="preserve"> g</w:t>
            </w:r>
            <w:r>
              <w:rPr>
                <w:rFonts w:cs="Arial"/>
                <w:i/>
              </w:rPr>
              <w:t>overnment staff, and the</w:t>
            </w:r>
            <w:r w:rsidRPr="00506597">
              <w:rPr>
                <w:rFonts w:cs="Arial"/>
                <w:i/>
              </w:rPr>
              <w:t xml:space="preserve"> public. We will </w:t>
            </w:r>
            <w:r w:rsidR="00B9737D">
              <w:rPr>
                <w:rFonts w:cs="Arial"/>
                <w:i/>
              </w:rPr>
              <w:t>present findings</w:t>
            </w:r>
            <w:r w:rsidRPr="00506597">
              <w:rPr>
                <w:rFonts w:cs="Arial"/>
                <w:i/>
              </w:rPr>
              <w:t xml:space="preserve"> through field days, seminars, meetings, extension bulletins, news articles, and peer-reviewed manuscripts. </w:t>
            </w:r>
            <w:r w:rsidR="00924745">
              <w:rPr>
                <w:rFonts w:cs="Arial"/>
                <w:i/>
              </w:rPr>
              <w:t>The newly established</w:t>
            </w:r>
            <w:r w:rsidR="00BA64D1">
              <w:rPr>
                <w:rFonts w:cs="Arial"/>
                <w:i/>
              </w:rPr>
              <w:t xml:space="preserve"> </w:t>
            </w:r>
            <w:r w:rsidRPr="00506597">
              <w:rPr>
                <w:rFonts w:cs="Arial"/>
                <w:i/>
              </w:rPr>
              <w:t xml:space="preserve">research site in Crookston, </w:t>
            </w:r>
            <w:r w:rsidR="00431DA6">
              <w:rPr>
                <w:rFonts w:cs="Arial"/>
                <w:i/>
              </w:rPr>
              <w:t>MN</w:t>
            </w:r>
            <w:r w:rsidR="00BA64D1">
              <w:rPr>
                <w:rFonts w:cs="Arial"/>
                <w:i/>
              </w:rPr>
              <w:t xml:space="preserve"> will</w:t>
            </w:r>
            <w:r w:rsidRPr="00506597">
              <w:rPr>
                <w:rFonts w:cs="Arial"/>
                <w:i/>
              </w:rPr>
              <w:t xml:space="preserve"> </w:t>
            </w:r>
            <w:r w:rsidR="00924745">
              <w:rPr>
                <w:rFonts w:cs="Arial"/>
                <w:i/>
              </w:rPr>
              <w:t>serve</w:t>
            </w:r>
            <w:r w:rsidRPr="00506597">
              <w:rPr>
                <w:rFonts w:cs="Arial"/>
                <w:i/>
              </w:rPr>
              <w:t xml:space="preserve"> as a demonstration site for community engagement. The proposed site would be in a highly visible, easily accessible location adjacent to the U</w:t>
            </w:r>
            <w:r w:rsidR="00431DA6">
              <w:rPr>
                <w:rFonts w:cs="Arial"/>
                <w:i/>
              </w:rPr>
              <w:t>MN</w:t>
            </w:r>
            <w:r w:rsidRPr="00506597">
              <w:rPr>
                <w:rFonts w:cs="Arial"/>
                <w:i/>
              </w:rPr>
              <w:t xml:space="preserve"> Crookston campus</w:t>
            </w:r>
            <w:r w:rsidR="00431DA6">
              <w:rPr>
                <w:rFonts w:cs="Arial"/>
                <w:i/>
              </w:rPr>
              <w:t xml:space="preserve"> and</w:t>
            </w:r>
            <w:r w:rsidRPr="00506597">
              <w:rPr>
                <w:rFonts w:cs="Arial"/>
                <w:i/>
              </w:rPr>
              <w:t xml:space="preserve"> Crookston High School. </w:t>
            </w:r>
            <w:r w:rsidR="00431DA6">
              <w:rPr>
                <w:rFonts w:cs="Arial"/>
                <w:i/>
              </w:rPr>
              <w:t>E</w:t>
            </w:r>
            <w:r w:rsidRPr="00506597">
              <w:rPr>
                <w:rFonts w:cs="Arial"/>
                <w:i/>
              </w:rPr>
              <w:t>ducational tours</w:t>
            </w:r>
            <w:r w:rsidR="00431DA6">
              <w:rPr>
                <w:rFonts w:cs="Arial"/>
                <w:i/>
              </w:rPr>
              <w:t xml:space="preserve"> will </w:t>
            </w:r>
            <w:r w:rsidR="00174FEF">
              <w:rPr>
                <w:rFonts w:cs="Arial"/>
                <w:i/>
              </w:rPr>
              <w:t>introduce</w:t>
            </w:r>
            <w:r w:rsidRPr="00506597">
              <w:rPr>
                <w:rFonts w:cs="Arial"/>
                <w:i/>
              </w:rPr>
              <w:t xml:space="preserve"> students and community leaders </w:t>
            </w:r>
            <w:r w:rsidR="00174FEF">
              <w:rPr>
                <w:rFonts w:cs="Arial"/>
                <w:i/>
              </w:rPr>
              <w:t>with</w:t>
            </w:r>
            <w:r w:rsidRPr="00506597">
              <w:rPr>
                <w:rFonts w:cs="Arial"/>
                <w:i/>
              </w:rPr>
              <w:t xml:space="preserve"> the efforts of local producers to</w:t>
            </w:r>
            <w:r w:rsidR="00431DA6">
              <w:rPr>
                <w:rFonts w:cs="Arial"/>
                <w:i/>
              </w:rPr>
              <w:t xml:space="preserve"> improve nutrient utilization</w:t>
            </w:r>
            <w:r w:rsidRPr="00506597">
              <w:rPr>
                <w:rFonts w:cs="Arial"/>
                <w:i/>
              </w:rPr>
              <w:t xml:space="preserve"> and reduce off-site nutrient loss.</w:t>
            </w:r>
          </w:p>
          <w:p w:rsidR="00506597" w:rsidRPr="00217C2A" w:rsidRDefault="00506597" w:rsidP="00806B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06597" w:rsidRPr="009D6EC8" w:rsidTr="000F3B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5" w:type="dxa"/>
        </w:trPr>
        <w:tc>
          <w:tcPr>
            <w:tcW w:w="8285" w:type="dxa"/>
          </w:tcPr>
          <w:p w:rsidR="00506597" w:rsidRPr="009D6EC8" w:rsidRDefault="00506597" w:rsidP="00DE0ED2">
            <w:pPr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Outcome</w:t>
            </w:r>
          </w:p>
        </w:tc>
        <w:tc>
          <w:tcPr>
            <w:tcW w:w="1785" w:type="dxa"/>
          </w:tcPr>
          <w:p w:rsidR="00506597" w:rsidRPr="009D6EC8" w:rsidRDefault="00506597" w:rsidP="00DE0ED2">
            <w:pPr>
              <w:jc w:val="center"/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Completion Date</w:t>
            </w:r>
          </w:p>
        </w:tc>
      </w:tr>
      <w:tr w:rsidR="00506597" w:rsidRPr="009D6EC8" w:rsidTr="000F3B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5" w:type="dxa"/>
        </w:trPr>
        <w:tc>
          <w:tcPr>
            <w:tcW w:w="8285" w:type="dxa"/>
          </w:tcPr>
          <w:p w:rsidR="00506597" w:rsidRPr="009D6EC8" w:rsidRDefault="00506597" w:rsidP="00DE0ED2">
            <w:pPr>
              <w:rPr>
                <w:rFonts w:cs="Arial"/>
                <w:i/>
              </w:rPr>
            </w:pPr>
            <w:r w:rsidRPr="009D6EC8">
              <w:rPr>
                <w:rFonts w:cs="Arial"/>
                <w:i/>
              </w:rPr>
              <w:t xml:space="preserve">1. </w:t>
            </w:r>
            <w:r w:rsidR="000F3B19">
              <w:rPr>
                <w:rFonts w:cs="Arial"/>
                <w:i/>
              </w:rPr>
              <w:t>Establish Crookston Research and Demonstration Site</w:t>
            </w:r>
            <w:r w:rsidRPr="009D6EC8">
              <w:rPr>
                <w:rFonts w:cs="Arial"/>
                <w:i/>
              </w:rPr>
              <w:t xml:space="preserve"> </w:t>
            </w:r>
          </w:p>
        </w:tc>
        <w:tc>
          <w:tcPr>
            <w:tcW w:w="1785" w:type="dxa"/>
          </w:tcPr>
          <w:p w:rsidR="00506597" w:rsidRPr="009D6EC8" w:rsidRDefault="000F3B19" w:rsidP="00DE0ED2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Spring 2020</w:t>
            </w:r>
          </w:p>
        </w:tc>
      </w:tr>
      <w:tr w:rsidR="00506597" w:rsidRPr="009D6EC8" w:rsidTr="000F3B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5" w:type="dxa"/>
        </w:trPr>
        <w:tc>
          <w:tcPr>
            <w:tcW w:w="8285" w:type="dxa"/>
          </w:tcPr>
          <w:p w:rsidR="00506597" w:rsidRPr="009D6EC8" w:rsidRDefault="00506597" w:rsidP="00DE0ED2">
            <w:pPr>
              <w:rPr>
                <w:rFonts w:cs="Arial"/>
                <w:i/>
              </w:rPr>
            </w:pPr>
            <w:r w:rsidRPr="009D6EC8">
              <w:rPr>
                <w:rFonts w:cs="Arial"/>
                <w:i/>
              </w:rPr>
              <w:t xml:space="preserve">2. </w:t>
            </w:r>
            <w:r w:rsidR="000F3B19">
              <w:rPr>
                <w:rFonts w:cs="Arial"/>
                <w:i/>
              </w:rPr>
              <w:t>Host 4R Field Day</w:t>
            </w:r>
            <w:r w:rsidR="00335989">
              <w:rPr>
                <w:rFonts w:cs="Arial"/>
                <w:i/>
              </w:rPr>
              <w:t xml:space="preserve"> Events</w:t>
            </w:r>
            <w:r w:rsidRPr="009D6EC8">
              <w:rPr>
                <w:rFonts w:cs="Arial"/>
                <w:i/>
              </w:rPr>
              <w:t xml:space="preserve"> </w:t>
            </w:r>
            <w:r w:rsidR="000F3B19">
              <w:rPr>
                <w:rFonts w:cs="Arial"/>
                <w:i/>
              </w:rPr>
              <w:t>in Northwest Minnesota</w:t>
            </w:r>
          </w:p>
        </w:tc>
        <w:tc>
          <w:tcPr>
            <w:tcW w:w="1785" w:type="dxa"/>
          </w:tcPr>
          <w:p w:rsidR="00506597" w:rsidRPr="009D6EC8" w:rsidRDefault="000F3B19" w:rsidP="00DE0ED2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Summer 2021, 2022, and 2023</w:t>
            </w:r>
          </w:p>
        </w:tc>
      </w:tr>
      <w:tr w:rsidR="00506597" w:rsidRPr="009D6EC8" w:rsidTr="000F3B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5" w:type="dxa"/>
        </w:trPr>
        <w:tc>
          <w:tcPr>
            <w:tcW w:w="8285" w:type="dxa"/>
          </w:tcPr>
          <w:p w:rsidR="00506597" w:rsidRPr="009D6EC8" w:rsidRDefault="000F3B19" w:rsidP="00DE0ED2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3. Share findings on 4R Nutrient Stewardship with stakeholders </w:t>
            </w:r>
          </w:p>
        </w:tc>
        <w:tc>
          <w:tcPr>
            <w:tcW w:w="1785" w:type="dxa"/>
          </w:tcPr>
          <w:p w:rsidR="00506597" w:rsidRPr="009D6EC8" w:rsidRDefault="000F3B19" w:rsidP="00DE0ED2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June 30, 2024</w:t>
            </w:r>
          </w:p>
        </w:tc>
      </w:tr>
    </w:tbl>
    <w:p w:rsidR="00C02DAD" w:rsidRDefault="00C02DAD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i/>
        </w:rPr>
      </w:pPr>
    </w:p>
    <w:p w:rsidR="005431D4" w:rsidRPr="00073C96" w:rsidRDefault="00073C96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 w:rsidRPr="009D6EC8">
        <w:rPr>
          <w:rFonts w:cs="Arial"/>
          <w:b/>
        </w:rPr>
        <w:t xml:space="preserve">III. </w:t>
      </w:r>
      <w:r w:rsidRPr="00AF4ECD">
        <w:rPr>
          <w:rFonts w:cs="Arial"/>
          <w:b/>
          <w:bCs/>
          <w:color w:val="000000"/>
        </w:rPr>
        <w:t xml:space="preserve">PROJECT </w:t>
      </w:r>
      <w:r>
        <w:rPr>
          <w:rFonts w:cs="Arial"/>
          <w:b/>
          <w:bCs/>
          <w:color w:val="000000"/>
        </w:rPr>
        <w:t>PARTNERS AND COLLABORATORS</w:t>
      </w:r>
      <w:r w:rsidRPr="00AF4ECD">
        <w:rPr>
          <w:rFonts w:cs="Arial"/>
          <w:b/>
          <w:bCs/>
          <w:color w:val="000000"/>
        </w:rPr>
        <w:t>:</w:t>
      </w:r>
    </w:p>
    <w:p w:rsidR="00806B06" w:rsidRDefault="00806B06" w:rsidP="00506597">
      <w:pPr>
        <w:spacing w:before="1"/>
        <w:ind w:right="450"/>
        <w:sectPr w:rsidR="00806B06" w:rsidSect="00E4714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1440" w:right="1080" w:bottom="1440" w:left="1080" w:header="648" w:footer="720" w:gutter="0"/>
          <w:cols w:space="720"/>
          <w:docGrid w:linePitch="360"/>
        </w:sectPr>
      </w:pPr>
    </w:p>
    <w:p w:rsidR="00506597" w:rsidRDefault="00506597" w:rsidP="00B74A77">
      <w:pPr>
        <w:spacing w:before="1"/>
        <w:ind w:right="450"/>
        <w:jc w:val="both"/>
      </w:pPr>
      <w:r w:rsidRPr="00B74A77">
        <w:rPr>
          <w:b/>
        </w:rPr>
        <w:t>Dr. Lindsay Pease</w:t>
      </w:r>
      <w:r>
        <w:t xml:space="preserve">, </w:t>
      </w:r>
      <w:r w:rsidR="00806B06">
        <w:t>UMN</w:t>
      </w:r>
      <w:r>
        <w:t>-Northwest Research and Outreach Center</w:t>
      </w:r>
      <w:r w:rsidR="00431DA6">
        <w:t xml:space="preserve"> (</w:t>
      </w:r>
      <w:r w:rsidR="00431DA6" w:rsidRPr="00B74A77">
        <w:rPr>
          <w:i/>
        </w:rPr>
        <w:t>ENRTF Supported</w:t>
      </w:r>
      <w:r w:rsidR="00431DA6">
        <w:t>)</w:t>
      </w:r>
    </w:p>
    <w:p w:rsidR="00506597" w:rsidRDefault="00506597" w:rsidP="00B74A77">
      <w:pPr>
        <w:spacing w:before="1"/>
        <w:ind w:right="630"/>
        <w:jc w:val="both"/>
      </w:pPr>
      <w:r w:rsidRPr="00B74A77">
        <w:rPr>
          <w:b/>
        </w:rPr>
        <w:t xml:space="preserve">Dr. </w:t>
      </w:r>
      <w:proofErr w:type="spellStart"/>
      <w:r w:rsidRPr="00B74A77">
        <w:rPr>
          <w:b/>
        </w:rPr>
        <w:t>Jeppe</w:t>
      </w:r>
      <w:proofErr w:type="spellEnd"/>
      <w:r w:rsidRPr="00B74A77">
        <w:rPr>
          <w:b/>
        </w:rPr>
        <w:t xml:space="preserve"> </w:t>
      </w:r>
      <w:proofErr w:type="spellStart"/>
      <w:r w:rsidRPr="00B74A77">
        <w:rPr>
          <w:b/>
        </w:rPr>
        <w:t>Kjaersgaard</w:t>
      </w:r>
      <w:proofErr w:type="spellEnd"/>
      <w:r>
        <w:t xml:space="preserve">, </w:t>
      </w:r>
      <w:r w:rsidR="00806B06">
        <w:t>MN</w:t>
      </w:r>
      <w:r>
        <w:t xml:space="preserve"> </w:t>
      </w:r>
      <w:proofErr w:type="spellStart"/>
      <w:r>
        <w:t>Dept</w:t>
      </w:r>
      <w:proofErr w:type="spellEnd"/>
      <w:r>
        <w:t xml:space="preserve"> of Agriculture</w:t>
      </w:r>
      <w:r w:rsidR="00431DA6">
        <w:t xml:space="preserve"> (No ENRTF </w:t>
      </w:r>
      <w:r w:rsidR="00806B06">
        <w:t>Funds</w:t>
      </w:r>
      <w:r w:rsidR="00431DA6">
        <w:t>)</w:t>
      </w:r>
    </w:p>
    <w:p w:rsidR="00506597" w:rsidRDefault="00431DA6" w:rsidP="00B74A77">
      <w:pPr>
        <w:jc w:val="both"/>
      </w:pPr>
      <w:r w:rsidRPr="00B74A77">
        <w:rPr>
          <w:b/>
        </w:rPr>
        <w:t>Dr. Heidi Peterson</w:t>
      </w:r>
      <w:r>
        <w:t>,</w:t>
      </w:r>
      <w:r w:rsidR="00B74A77">
        <w:t xml:space="preserve"> UMN-</w:t>
      </w:r>
      <w:r>
        <w:t xml:space="preserve">Adjunct (No ENRTF </w:t>
      </w:r>
      <w:r w:rsidR="00806B06">
        <w:t>Funds</w:t>
      </w:r>
      <w:r>
        <w:t>)</w:t>
      </w:r>
    </w:p>
    <w:p w:rsidR="00506597" w:rsidRDefault="00506597" w:rsidP="00B74A77">
      <w:pPr>
        <w:jc w:val="both"/>
      </w:pPr>
      <w:r w:rsidRPr="00B74A77">
        <w:rPr>
          <w:b/>
        </w:rPr>
        <w:t xml:space="preserve">Warren </w:t>
      </w:r>
      <w:proofErr w:type="spellStart"/>
      <w:r w:rsidRPr="00B74A77">
        <w:rPr>
          <w:b/>
        </w:rPr>
        <w:t>Formo</w:t>
      </w:r>
      <w:proofErr w:type="spellEnd"/>
      <w:r>
        <w:t xml:space="preserve">, </w:t>
      </w:r>
      <w:r w:rsidR="00B74A77">
        <w:t>MN</w:t>
      </w:r>
      <w:r>
        <w:t xml:space="preserve"> Agricultural Water Resources Center</w:t>
      </w:r>
      <w:r w:rsidR="00431DA6">
        <w:t xml:space="preserve"> (</w:t>
      </w:r>
      <w:r w:rsidR="00806B06">
        <w:t>No ENRTF Funds</w:t>
      </w:r>
      <w:r w:rsidR="00431DA6">
        <w:t>)</w:t>
      </w:r>
    </w:p>
    <w:p w:rsidR="00506597" w:rsidRDefault="00506597" w:rsidP="00B74A77">
      <w:pPr>
        <w:tabs>
          <w:tab w:val="left" w:pos="0"/>
        </w:tabs>
        <w:jc w:val="both"/>
      </w:pPr>
      <w:r w:rsidRPr="00B74A77">
        <w:rPr>
          <w:b/>
        </w:rPr>
        <w:t xml:space="preserve">Leif </w:t>
      </w:r>
      <w:proofErr w:type="spellStart"/>
      <w:r w:rsidRPr="00B74A77">
        <w:rPr>
          <w:b/>
        </w:rPr>
        <w:t>Fixen</w:t>
      </w:r>
      <w:proofErr w:type="spellEnd"/>
      <w:r>
        <w:t xml:space="preserve">, </w:t>
      </w:r>
      <w:proofErr w:type="gramStart"/>
      <w:r>
        <w:t>The</w:t>
      </w:r>
      <w:proofErr w:type="gramEnd"/>
      <w:r>
        <w:t xml:space="preserve"> Nature Conservancy</w:t>
      </w:r>
      <w:r w:rsidR="00431DA6">
        <w:t xml:space="preserve"> (</w:t>
      </w:r>
      <w:r w:rsidR="00806B06">
        <w:t>No ENRTF Funds</w:t>
      </w:r>
      <w:r w:rsidR="00431DA6">
        <w:t>)</w:t>
      </w:r>
    </w:p>
    <w:p w:rsidR="00506597" w:rsidRDefault="00506597" w:rsidP="00B74A77">
      <w:pPr>
        <w:jc w:val="both"/>
      </w:pPr>
      <w:r w:rsidRPr="00B74A77">
        <w:rPr>
          <w:b/>
        </w:rPr>
        <w:t xml:space="preserve">Dr. </w:t>
      </w:r>
      <w:proofErr w:type="spellStart"/>
      <w:r w:rsidRPr="00B74A77">
        <w:rPr>
          <w:b/>
        </w:rPr>
        <w:t>Amitava</w:t>
      </w:r>
      <w:proofErr w:type="spellEnd"/>
      <w:r w:rsidRPr="00B74A77">
        <w:rPr>
          <w:b/>
        </w:rPr>
        <w:t xml:space="preserve"> Chatterjee</w:t>
      </w:r>
      <w:r>
        <w:t>, North Dakota State University</w:t>
      </w:r>
      <w:r w:rsidR="00431DA6">
        <w:t xml:space="preserve"> (</w:t>
      </w:r>
      <w:r w:rsidR="00806B06">
        <w:t>No ENRTF Funds</w:t>
      </w:r>
      <w:r w:rsidR="00431DA6">
        <w:t>)</w:t>
      </w:r>
    </w:p>
    <w:p w:rsidR="00506597" w:rsidRDefault="00506597" w:rsidP="00B74A77">
      <w:pPr>
        <w:jc w:val="both"/>
      </w:pPr>
      <w:r w:rsidRPr="00B74A77">
        <w:rPr>
          <w:b/>
        </w:rPr>
        <w:t xml:space="preserve">Dr. David </w:t>
      </w:r>
      <w:proofErr w:type="spellStart"/>
      <w:r w:rsidRPr="00B74A77">
        <w:rPr>
          <w:b/>
        </w:rPr>
        <w:t>Lobb</w:t>
      </w:r>
      <w:proofErr w:type="spellEnd"/>
      <w:r w:rsidRPr="00B74A77">
        <w:rPr>
          <w:b/>
        </w:rPr>
        <w:t>, Univ</w:t>
      </w:r>
      <w:r w:rsidR="00B74A77">
        <w:t>.</w:t>
      </w:r>
      <w:r>
        <w:t xml:space="preserve"> of Manitoba</w:t>
      </w:r>
      <w:r w:rsidR="00431DA6">
        <w:t xml:space="preserve"> (</w:t>
      </w:r>
      <w:r w:rsidR="00806B06">
        <w:t>No ENRTF Funds</w:t>
      </w:r>
      <w:r w:rsidR="00431DA6">
        <w:t>)</w:t>
      </w:r>
    </w:p>
    <w:p w:rsidR="00506597" w:rsidRDefault="00506597" w:rsidP="00B74A77">
      <w:pPr>
        <w:jc w:val="both"/>
      </w:pPr>
      <w:r w:rsidRPr="00B74A77">
        <w:rPr>
          <w:b/>
        </w:rPr>
        <w:t>Mitchell Timmerman</w:t>
      </w:r>
      <w:r>
        <w:t>, Manitoba Agriculture</w:t>
      </w:r>
      <w:r w:rsidR="00431DA6">
        <w:t xml:space="preserve"> (</w:t>
      </w:r>
      <w:r w:rsidR="00806B06">
        <w:t>No ENRTF Funds</w:t>
      </w:r>
      <w:r w:rsidR="00431DA6">
        <w:t>)</w:t>
      </w:r>
    </w:p>
    <w:p w:rsidR="00506597" w:rsidRDefault="00506597" w:rsidP="00B74A77">
      <w:pPr>
        <w:jc w:val="both"/>
      </w:pPr>
      <w:r w:rsidRPr="00B74A77">
        <w:rPr>
          <w:b/>
        </w:rPr>
        <w:t xml:space="preserve">Dr. </w:t>
      </w:r>
      <w:proofErr w:type="spellStart"/>
      <w:r w:rsidRPr="00B74A77">
        <w:rPr>
          <w:b/>
        </w:rPr>
        <w:t>Merrin</w:t>
      </w:r>
      <w:proofErr w:type="spellEnd"/>
      <w:r w:rsidRPr="00B74A77">
        <w:rPr>
          <w:b/>
        </w:rPr>
        <w:t xml:space="preserve"> </w:t>
      </w:r>
      <w:proofErr w:type="spellStart"/>
      <w:r w:rsidRPr="00B74A77">
        <w:rPr>
          <w:b/>
        </w:rPr>
        <w:t>Macrae</w:t>
      </w:r>
      <w:proofErr w:type="spellEnd"/>
      <w:r>
        <w:t xml:space="preserve"> Univ</w:t>
      </w:r>
      <w:r w:rsidR="00B74A77">
        <w:t>.</w:t>
      </w:r>
      <w:r>
        <w:t xml:space="preserve"> of Waterloo</w:t>
      </w:r>
      <w:r w:rsidR="00431DA6">
        <w:t xml:space="preserve"> (</w:t>
      </w:r>
      <w:r w:rsidR="00806B06">
        <w:t>No ENRTF Funds</w:t>
      </w:r>
      <w:r w:rsidR="00431DA6">
        <w:t>)</w:t>
      </w:r>
    </w:p>
    <w:p w:rsidR="00806B06" w:rsidRDefault="00806B06" w:rsidP="006E0EFD">
      <w:pPr>
        <w:rPr>
          <w:rFonts w:cs="Arial"/>
          <w:b/>
        </w:rPr>
        <w:sectPr w:rsidR="00806B06" w:rsidSect="00806B06">
          <w:type w:val="continuous"/>
          <w:pgSz w:w="12240" w:h="15840" w:code="1"/>
          <w:pgMar w:top="1440" w:right="1080" w:bottom="1440" w:left="1080" w:header="648" w:footer="720" w:gutter="0"/>
          <w:cols w:num="2" w:space="180"/>
          <w:docGrid w:linePitch="360"/>
        </w:sectPr>
      </w:pPr>
    </w:p>
    <w:p w:rsidR="005431D4" w:rsidRPr="009D6EC8" w:rsidRDefault="005431D4" w:rsidP="006E0EFD">
      <w:pPr>
        <w:rPr>
          <w:rFonts w:cs="Arial"/>
          <w:b/>
        </w:rPr>
      </w:pPr>
    </w:p>
    <w:p w:rsidR="005431D4" w:rsidRDefault="005431D4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I</w:t>
      </w:r>
      <w:r w:rsidRPr="00AF4ECD">
        <w:rPr>
          <w:rFonts w:cs="Arial"/>
          <w:b/>
          <w:bCs/>
          <w:color w:val="000000"/>
        </w:rPr>
        <w:t xml:space="preserve">V. </w:t>
      </w:r>
      <w:r w:rsidRPr="00AF4ECD">
        <w:rPr>
          <w:rFonts w:cs="Arial"/>
          <w:b/>
          <w:bCs/>
          <w:color w:val="000000"/>
        </w:rPr>
        <w:tab/>
      </w:r>
      <w:r w:rsidR="00AB6CFF">
        <w:rPr>
          <w:rFonts w:cs="Arial"/>
          <w:b/>
          <w:bCs/>
          <w:color w:val="000000"/>
        </w:rPr>
        <w:t>LONG-TERM</w:t>
      </w:r>
      <w:r>
        <w:rPr>
          <w:rFonts w:cs="Arial"/>
          <w:b/>
          <w:bCs/>
          <w:color w:val="000000"/>
        </w:rPr>
        <w:t xml:space="preserve"> IMPLEMENTATION AND FUNDING:</w:t>
      </w:r>
    </w:p>
    <w:p w:rsidR="00543B95" w:rsidRPr="00543B95" w:rsidRDefault="00543B95" w:rsidP="00B74A77">
      <w:pPr>
        <w:tabs>
          <w:tab w:val="left" w:pos="540"/>
        </w:tabs>
        <w:autoSpaceDE w:val="0"/>
        <w:autoSpaceDN w:val="0"/>
        <w:adjustRightInd w:val="0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This project has partial funding through 2024</w:t>
      </w:r>
      <w:r w:rsidR="00616844">
        <w:rPr>
          <w:rFonts w:cs="Arial"/>
          <w:bCs/>
          <w:color w:val="000000"/>
        </w:rPr>
        <w:t>.</w:t>
      </w:r>
      <w:r>
        <w:rPr>
          <w:rFonts w:cs="Arial"/>
          <w:bCs/>
          <w:color w:val="000000"/>
        </w:rPr>
        <w:t xml:space="preserve"> </w:t>
      </w:r>
      <w:r w:rsidR="00616844">
        <w:rPr>
          <w:rFonts w:cs="Arial"/>
          <w:bCs/>
          <w:color w:val="000000"/>
        </w:rPr>
        <w:t>Acquired funding includes</w:t>
      </w:r>
      <w:r>
        <w:rPr>
          <w:rFonts w:cs="Arial"/>
          <w:bCs/>
          <w:color w:val="000000"/>
        </w:rPr>
        <w:t xml:space="preserve"> $800,000 from the 4R Research Fund, $35,000 from the Red River Watershed Management Board, and $60,000 from the </w:t>
      </w:r>
      <w:r w:rsidR="00616844">
        <w:rPr>
          <w:rFonts w:cs="Arial"/>
          <w:bCs/>
          <w:color w:val="000000"/>
        </w:rPr>
        <w:t>UMN</w:t>
      </w:r>
      <w:r>
        <w:rPr>
          <w:rFonts w:cs="Arial"/>
          <w:bCs/>
          <w:color w:val="000000"/>
        </w:rPr>
        <w:t xml:space="preserve"> Northwest Research and Outreach Center. Following the conclusion of this experiment, sponsored funding </w:t>
      </w:r>
      <w:proofErr w:type="gramStart"/>
      <w:r>
        <w:rPr>
          <w:rFonts w:cs="Arial"/>
          <w:bCs/>
          <w:color w:val="000000"/>
        </w:rPr>
        <w:t>will be sought</w:t>
      </w:r>
      <w:proofErr w:type="gramEnd"/>
      <w:r>
        <w:rPr>
          <w:rFonts w:cs="Arial"/>
          <w:bCs/>
          <w:color w:val="000000"/>
        </w:rPr>
        <w:t xml:space="preserve"> to continue data collection and conduct additional experiments on plot infrastructure established </w:t>
      </w:r>
      <w:r w:rsidR="003B723E">
        <w:rPr>
          <w:rFonts w:cs="Arial"/>
          <w:bCs/>
          <w:color w:val="000000"/>
        </w:rPr>
        <w:t xml:space="preserve">as part of </w:t>
      </w:r>
      <w:r>
        <w:rPr>
          <w:rFonts w:cs="Arial"/>
          <w:bCs/>
          <w:color w:val="000000"/>
        </w:rPr>
        <w:t>this project.</w:t>
      </w:r>
    </w:p>
    <w:p w:rsidR="00C02DAD" w:rsidRDefault="00186FCC" w:rsidP="00186FCC">
      <w:pPr>
        <w:tabs>
          <w:tab w:val="left" w:pos="7185"/>
        </w:tabs>
        <w:rPr>
          <w:rFonts w:cs="Arial"/>
          <w:b/>
        </w:rPr>
      </w:pPr>
      <w:r>
        <w:rPr>
          <w:rFonts w:cs="Arial"/>
          <w:b/>
        </w:rPr>
        <w:tab/>
      </w:r>
    </w:p>
    <w:p w:rsidR="00C02DAD" w:rsidRDefault="0029726A" w:rsidP="00C02DAD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V</w:t>
      </w:r>
      <w:r w:rsidR="00C02DAD" w:rsidRPr="00AF4ECD">
        <w:rPr>
          <w:rFonts w:cs="Arial"/>
          <w:b/>
          <w:bCs/>
          <w:color w:val="000000"/>
        </w:rPr>
        <w:t xml:space="preserve">. </w:t>
      </w:r>
      <w:r w:rsidR="00C02DAD" w:rsidRPr="00AF4ECD">
        <w:rPr>
          <w:rFonts w:cs="Arial"/>
          <w:b/>
          <w:bCs/>
          <w:color w:val="000000"/>
        </w:rPr>
        <w:tab/>
      </w:r>
      <w:r w:rsidR="00C02DAD">
        <w:rPr>
          <w:rFonts w:cs="Arial"/>
          <w:b/>
          <w:bCs/>
          <w:color w:val="000000"/>
        </w:rPr>
        <w:t xml:space="preserve">SEE ADDITIONAL </w:t>
      </w:r>
      <w:r w:rsidR="00AD3337">
        <w:rPr>
          <w:rFonts w:cs="Arial"/>
          <w:b/>
          <w:bCs/>
          <w:color w:val="000000"/>
        </w:rPr>
        <w:t>PROPOSAL</w:t>
      </w:r>
      <w:r w:rsidR="00C02DAD">
        <w:rPr>
          <w:rFonts w:cs="Arial"/>
          <w:b/>
          <w:bCs/>
          <w:color w:val="000000"/>
        </w:rPr>
        <w:t xml:space="preserve"> COMPONENTS</w:t>
      </w:r>
      <w:r w:rsidR="00C02DAD" w:rsidRPr="00AF4ECD">
        <w:rPr>
          <w:rFonts w:cs="Arial"/>
          <w:b/>
          <w:bCs/>
          <w:color w:val="000000"/>
        </w:rPr>
        <w:t>:</w:t>
      </w:r>
    </w:p>
    <w:p w:rsidR="00C02DAD" w:rsidRPr="00F53693" w:rsidRDefault="00C02DAD" w:rsidP="00C02DAD">
      <w:pPr>
        <w:tabs>
          <w:tab w:val="left" w:pos="540"/>
        </w:tabs>
        <w:autoSpaceDE w:val="0"/>
        <w:autoSpaceDN w:val="0"/>
        <w:adjustRightInd w:val="0"/>
        <w:rPr>
          <w:rFonts w:cs="Arial"/>
          <w:bCs/>
          <w:i/>
          <w:color w:val="000000"/>
          <w:sz w:val="10"/>
          <w:szCs w:val="10"/>
        </w:rPr>
      </w:pPr>
    </w:p>
    <w:p w:rsidR="00C02DAD" w:rsidRPr="000A26B2" w:rsidRDefault="00C02DAD" w:rsidP="00C02DAD">
      <w:pPr>
        <w:tabs>
          <w:tab w:val="left" w:pos="540"/>
        </w:tabs>
        <w:autoSpaceDE w:val="0"/>
        <w:autoSpaceDN w:val="0"/>
        <w:adjustRightInd w:val="0"/>
        <w:ind w:left="540"/>
        <w:rPr>
          <w:rFonts w:cs="Arial"/>
          <w:b/>
          <w:iCs/>
          <w:color w:val="000000"/>
        </w:rPr>
      </w:pPr>
      <w:r w:rsidRPr="000A26B2">
        <w:rPr>
          <w:rFonts w:cs="Arial"/>
          <w:b/>
          <w:iCs/>
          <w:color w:val="000000"/>
        </w:rPr>
        <w:t xml:space="preserve">A. </w:t>
      </w:r>
      <w:r>
        <w:rPr>
          <w:rFonts w:cs="Arial"/>
          <w:b/>
          <w:iCs/>
          <w:color w:val="000000"/>
        </w:rPr>
        <w:t xml:space="preserve">Proposal </w:t>
      </w:r>
      <w:r w:rsidRPr="000A26B2">
        <w:rPr>
          <w:rFonts w:cs="Arial"/>
          <w:b/>
          <w:iCs/>
          <w:color w:val="000000"/>
        </w:rPr>
        <w:t xml:space="preserve">Budget Spreadsheet </w:t>
      </w:r>
    </w:p>
    <w:p w:rsidR="006E0EFD" w:rsidRPr="009D6EC8" w:rsidRDefault="00AD3337" w:rsidP="00431DA6">
      <w:pPr>
        <w:tabs>
          <w:tab w:val="left" w:pos="540"/>
        </w:tabs>
        <w:autoSpaceDE w:val="0"/>
        <w:autoSpaceDN w:val="0"/>
        <w:adjustRightInd w:val="0"/>
        <w:ind w:left="540"/>
        <w:rPr>
          <w:rFonts w:cs="Arial"/>
        </w:rPr>
      </w:pPr>
      <w:r>
        <w:rPr>
          <w:rFonts w:cs="Arial"/>
          <w:b/>
          <w:iCs/>
          <w:color w:val="000000"/>
        </w:rPr>
        <w:t>F</w:t>
      </w:r>
      <w:r w:rsidR="00F9232B">
        <w:rPr>
          <w:rFonts w:cs="Arial"/>
          <w:b/>
          <w:iCs/>
          <w:color w:val="000000"/>
        </w:rPr>
        <w:t>. Project Manager Qualificati</w:t>
      </w:r>
      <w:r w:rsidR="00431DA6">
        <w:rPr>
          <w:rFonts w:cs="Arial"/>
          <w:b/>
          <w:iCs/>
          <w:color w:val="000000"/>
        </w:rPr>
        <w:t>ons and Organization Description</w:t>
      </w:r>
    </w:p>
    <w:sectPr w:rsidR="006E0EFD" w:rsidRPr="009D6EC8" w:rsidSect="00806B06">
      <w:type w:val="continuous"/>
      <w:pgSz w:w="12240" w:h="15840" w:code="1"/>
      <w:pgMar w:top="1440" w:right="1080" w:bottom="1440" w:left="1080" w:header="6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B90" w:rsidRDefault="008D7B90" w:rsidP="00533120">
      <w:r>
        <w:separator/>
      </w:r>
    </w:p>
  </w:endnote>
  <w:endnote w:type="continuationSeparator" w:id="0">
    <w:p w:rsidR="008D7B90" w:rsidRDefault="008D7B90" w:rsidP="0053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B9C" w:rsidRDefault="00404B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237" w:rsidRDefault="005F723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976E4">
      <w:rPr>
        <w:noProof/>
      </w:rPr>
      <w:t>2</w:t>
    </w:r>
    <w:r>
      <w:fldChar w:fldCharType="end"/>
    </w:r>
  </w:p>
  <w:p w:rsidR="005F7237" w:rsidRDefault="005F72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237" w:rsidRDefault="005F7237" w:rsidP="00C72BD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5F7237" w:rsidRDefault="005F72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B90" w:rsidRDefault="008D7B90" w:rsidP="00533120">
      <w:r>
        <w:separator/>
      </w:r>
    </w:p>
  </w:footnote>
  <w:footnote w:type="continuationSeparator" w:id="0">
    <w:p w:rsidR="008D7B90" w:rsidRDefault="008D7B90" w:rsidP="00533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B9C" w:rsidRDefault="00404B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278"/>
      <w:gridCol w:w="9000"/>
    </w:tblGrid>
    <w:tr w:rsidR="005F7237" w:rsidTr="00E47145">
      <w:tc>
        <w:tcPr>
          <w:tcW w:w="1278" w:type="dxa"/>
        </w:tcPr>
        <w:p w:rsidR="005F7237" w:rsidRPr="00EB5831" w:rsidRDefault="009541C4" w:rsidP="00E47145">
          <w:pPr>
            <w:pStyle w:val="Header"/>
            <w:tabs>
              <w:tab w:val="clear" w:pos="4680"/>
              <w:tab w:val="clear" w:pos="9360"/>
            </w:tabs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669925" cy="478155"/>
                <wp:effectExtent l="0" t="0" r="0" b="0"/>
                <wp:docPr id="1" name="Picture 1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0" w:type="dxa"/>
        </w:tcPr>
        <w:p w:rsidR="005F7237" w:rsidRPr="00A42E60" w:rsidRDefault="005F7237" w:rsidP="00EB5831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:rsidR="005F7237" w:rsidRPr="00EB5831" w:rsidRDefault="001E42AC" w:rsidP="00EB5831">
          <w:pPr>
            <w:pStyle w:val="Header"/>
            <w:rPr>
              <w:b/>
              <w:lang w:val="en-US" w:eastAsia="en-US"/>
            </w:rPr>
          </w:pPr>
          <w:r>
            <w:rPr>
              <w:b/>
              <w:lang w:val="en-US" w:eastAsia="en-US"/>
            </w:rPr>
            <w:t>20</w:t>
          </w:r>
          <w:r w:rsidR="00404B9C">
            <w:rPr>
              <w:b/>
              <w:lang w:val="en-US" w:eastAsia="en-US"/>
            </w:rPr>
            <w:t>20</w:t>
          </w:r>
          <w:r w:rsidR="005F7237" w:rsidRPr="00EB5831">
            <w:rPr>
              <w:b/>
              <w:lang w:val="en-US" w:eastAsia="en-US"/>
            </w:rPr>
            <w:t xml:space="preserve"> Main Proposal</w:t>
          </w:r>
          <w:r w:rsidR="003F32CA">
            <w:rPr>
              <w:b/>
              <w:lang w:val="en-US" w:eastAsia="en-US"/>
            </w:rPr>
            <w:t xml:space="preserve"> </w:t>
          </w:r>
          <w:r w:rsidR="00602068">
            <w:rPr>
              <w:b/>
              <w:lang w:val="en-US" w:eastAsia="en-US"/>
            </w:rPr>
            <w:t>Template</w:t>
          </w:r>
        </w:p>
        <w:p w:rsidR="005F7237" w:rsidRPr="00EB5831" w:rsidRDefault="005F7237" w:rsidP="00EB5831">
          <w:pPr>
            <w:pStyle w:val="Header"/>
            <w:rPr>
              <w:lang w:val="en-US" w:eastAsia="en-US"/>
            </w:rPr>
          </w:pPr>
        </w:p>
      </w:tc>
    </w:tr>
  </w:tbl>
  <w:p w:rsidR="005F7237" w:rsidRPr="00A42E60" w:rsidRDefault="005F7237" w:rsidP="00A42E60">
    <w:pPr>
      <w:pStyle w:val="Head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098"/>
      <w:gridCol w:w="8478"/>
    </w:tblGrid>
    <w:tr w:rsidR="005F7237" w:rsidTr="00C660F0">
      <w:tc>
        <w:tcPr>
          <w:tcW w:w="1098" w:type="dxa"/>
        </w:tcPr>
        <w:p w:rsidR="005F7237" w:rsidRPr="00EB5831" w:rsidRDefault="009541C4" w:rsidP="00C660F0">
          <w:pPr>
            <w:pStyle w:val="Header"/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669925" cy="478155"/>
                <wp:effectExtent l="0" t="0" r="0" b="0"/>
                <wp:docPr id="2" name="Picture 2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8" w:type="dxa"/>
        </w:tcPr>
        <w:p w:rsidR="005F7237" w:rsidRPr="00A42E60" w:rsidRDefault="005F7237" w:rsidP="00C660F0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:rsidR="005F7237" w:rsidRPr="00EB5831" w:rsidRDefault="005F7237" w:rsidP="00806460">
          <w:pPr>
            <w:pStyle w:val="Header"/>
            <w:rPr>
              <w:b/>
              <w:lang w:val="en-US" w:eastAsia="en-US"/>
            </w:rPr>
          </w:pPr>
          <w:r w:rsidRPr="00EB5831">
            <w:rPr>
              <w:b/>
              <w:lang w:val="en-US" w:eastAsia="en-US"/>
            </w:rPr>
            <w:t>2014 Main Proposal</w:t>
          </w:r>
        </w:p>
        <w:p w:rsidR="005F7237" w:rsidRPr="00EB5831" w:rsidRDefault="005F7237" w:rsidP="00806460">
          <w:pPr>
            <w:pStyle w:val="Header"/>
            <w:rPr>
              <w:lang w:val="en-US" w:eastAsia="en-US"/>
            </w:rPr>
          </w:pPr>
          <w:r w:rsidRPr="00EB5831">
            <w:rPr>
              <w:b/>
              <w:lang w:val="en-US" w:eastAsia="en-US"/>
            </w:rPr>
            <w:t xml:space="preserve">Project Title: </w:t>
          </w:r>
          <w:r w:rsidRPr="00EB5831">
            <w:rPr>
              <w:i/>
              <w:lang w:val="en-US" w:eastAsia="en-US"/>
            </w:rPr>
            <w:t>[Insert “Project Title” here in document header]</w:t>
          </w:r>
        </w:p>
      </w:tc>
    </w:tr>
  </w:tbl>
  <w:p w:rsidR="005F7237" w:rsidRPr="00F96203" w:rsidRDefault="005F7237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1BC8"/>
    <w:multiLevelType w:val="hybridMultilevel"/>
    <w:tmpl w:val="3A646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46CD6"/>
    <w:multiLevelType w:val="hybridMultilevel"/>
    <w:tmpl w:val="815E5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A081B"/>
    <w:multiLevelType w:val="hybridMultilevel"/>
    <w:tmpl w:val="45507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C3021"/>
    <w:multiLevelType w:val="hybridMultilevel"/>
    <w:tmpl w:val="1E7E4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222CD"/>
    <w:multiLevelType w:val="hybridMultilevel"/>
    <w:tmpl w:val="907695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C16150"/>
    <w:multiLevelType w:val="hybridMultilevel"/>
    <w:tmpl w:val="84AA0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C3CD4"/>
    <w:multiLevelType w:val="hybridMultilevel"/>
    <w:tmpl w:val="B224B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26757"/>
    <w:multiLevelType w:val="hybridMultilevel"/>
    <w:tmpl w:val="79D8C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53136"/>
    <w:multiLevelType w:val="hybridMultilevel"/>
    <w:tmpl w:val="392CC3B6"/>
    <w:lvl w:ilvl="0" w:tplc="0409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9" w15:restartNumberingAfterBreak="0">
    <w:nsid w:val="388055C9"/>
    <w:multiLevelType w:val="hybridMultilevel"/>
    <w:tmpl w:val="7CF073A8"/>
    <w:lvl w:ilvl="0" w:tplc="5E34567A">
      <w:numFmt w:val="bullet"/>
      <w:lvlText w:val=""/>
      <w:lvlJc w:val="left"/>
      <w:pPr>
        <w:ind w:left="720" w:hanging="360"/>
      </w:pPr>
      <w:rPr>
        <w:rFonts w:ascii="Wingdings" w:eastAsia="Calibri" w:hAnsi="Wingdings" w:cs="Times New Roman"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773EE8"/>
    <w:multiLevelType w:val="hybridMultilevel"/>
    <w:tmpl w:val="3970E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F001D4"/>
    <w:multiLevelType w:val="hybridMultilevel"/>
    <w:tmpl w:val="A5541196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CC0A63"/>
    <w:multiLevelType w:val="hybridMultilevel"/>
    <w:tmpl w:val="BB2866D6"/>
    <w:lvl w:ilvl="0" w:tplc="E0CC8DFE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3" w15:restartNumberingAfterBreak="0">
    <w:nsid w:val="61D90CED"/>
    <w:multiLevelType w:val="hybridMultilevel"/>
    <w:tmpl w:val="3970E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336A08"/>
    <w:multiLevelType w:val="hybridMultilevel"/>
    <w:tmpl w:val="74C87E44"/>
    <w:lvl w:ilvl="0" w:tplc="ACD4C886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5" w15:restartNumberingAfterBreak="0">
    <w:nsid w:val="6795012A"/>
    <w:multiLevelType w:val="hybridMultilevel"/>
    <w:tmpl w:val="E83E2AA2"/>
    <w:lvl w:ilvl="0" w:tplc="5E34567A">
      <w:numFmt w:val="bullet"/>
      <w:lvlText w:val=""/>
      <w:lvlJc w:val="left"/>
      <w:pPr>
        <w:ind w:left="353" w:hanging="360"/>
      </w:pPr>
      <w:rPr>
        <w:rFonts w:ascii="Wingdings" w:eastAsia="Calibri" w:hAnsi="Wingdings" w:cs="Times New Roman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8"/>
  </w:num>
  <w:num w:numId="5">
    <w:abstractNumId w:val="15"/>
  </w:num>
  <w:num w:numId="6">
    <w:abstractNumId w:val="3"/>
  </w:num>
  <w:num w:numId="7">
    <w:abstractNumId w:val="9"/>
  </w:num>
  <w:num w:numId="8">
    <w:abstractNumId w:val="4"/>
  </w:num>
  <w:num w:numId="9">
    <w:abstractNumId w:val="14"/>
  </w:num>
  <w:num w:numId="10">
    <w:abstractNumId w:val="12"/>
  </w:num>
  <w:num w:numId="11">
    <w:abstractNumId w:val="1"/>
  </w:num>
  <w:num w:numId="12">
    <w:abstractNumId w:val="6"/>
  </w:num>
  <w:num w:numId="13">
    <w:abstractNumId w:val="13"/>
  </w:num>
  <w:num w:numId="14">
    <w:abstractNumId w:val="10"/>
  </w:num>
  <w:num w:numId="15">
    <w:abstractNumId w:val="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EFD"/>
    <w:rsid w:val="00016AC6"/>
    <w:rsid w:val="00020FA1"/>
    <w:rsid w:val="00061EF5"/>
    <w:rsid w:val="00062497"/>
    <w:rsid w:val="00065366"/>
    <w:rsid w:val="00073C96"/>
    <w:rsid w:val="000B34BA"/>
    <w:rsid w:val="000C3EF3"/>
    <w:rsid w:val="000D2992"/>
    <w:rsid w:val="000D7F31"/>
    <w:rsid w:val="000F3B19"/>
    <w:rsid w:val="00100A34"/>
    <w:rsid w:val="00107495"/>
    <w:rsid w:val="0011561A"/>
    <w:rsid w:val="001225BC"/>
    <w:rsid w:val="001254BA"/>
    <w:rsid w:val="00165716"/>
    <w:rsid w:val="00174FEF"/>
    <w:rsid w:val="0018005E"/>
    <w:rsid w:val="00186FCC"/>
    <w:rsid w:val="001B0368"/>
    <w:rsid w:val="001C3D6D"/>
    <w:rsid w:val="001E42AC"/>
    <w:rsid w:val="002159DD"/>
    <w:rsid w:val="00217C2A"/>
    <w:rsid w:val="00290E4E"/>
    <w:rsid w:val="0029726A"/>
    <w:rsid w:val="002B469A"/>
    <w:rsid w:val="003205A7"/>
    <w:rsid w:val="003239FE"/>
    <w:rsid w:val="00335989"/>
    <w:rsid w:val="00337D1E"/>
    <w:rsid w:val="00347E7A"/>
    <w:rsid w:val="00351EA6"/>
    <w:rsid w:val="00354888"/>
    <w:rsid w:val="003578A0"/>
    <w:rsid w:val="0037310D"/>
    <w:rsid w:val="0039481E"/>
    <w:rsid w:val="003B723E"/>
    <w:rsid w:val="003F32CA"/>
    <w:rsid w:val="00404B9C"/>
    <w:rsid w:val="00431DA6"/>
    <w:rsid w:val="004357AE"/>
    <w:rsid w:val="004530F7"/>
    <w:rsid w:val="00454495"/>
    <w:rsid w:val="00487D08"/>
    <w:rsid w:val="0049103C"/>
    <w:rsid w:val="004A43B9"/>
    <w:rsid w:val="004A4BE4"/>
    <w:rsid w:val="004E6113"/>
    <w:rsid w:val="00501E55"/>
    <w:rsid w:val="00506597"/>
    <w:rsid w:val="00533120"/>
    <w:rsid w:val="005431D4"/>
    <w:rsid w:val="00543B95"/>
    <w:rsid w:val="00550B29"/>
    <w:rsid w:val="005648A9"/>
    <w:rsid w:val="00577AAD"/>
    <w:rsid w:val="005A1D00"/>
    <w:rsid w:val="005A4FB1"/>
    <w:rsid w:val="005B66B7"/>
    <w:rsid w:val="005F0DBA"/>
    <w:rsid w:val="005F1006"/>
    <w:rsid w:val="005F7237"/>
    <w:rsid w:val="00602068"/>
    <w:rsid w:val="00614DF2"/>
    <w:rsid w:val="00616844"/>
    <w:rsid w:val="00640A9A"/>
    <w:rsid w:val="006562F0"/>
    <w:rsid w:val="00686B53"/>
    <w:rsid w:val="006C19BF"/>
    <w:rsid w:val="006E0EFD"/>
    <w:rsid w:val="006F7F24"/>
    <w:rsid w:val="00721661"/>
    <w:rsid w:val="00731A65"/>
    <w:rsid w:val="007936A9"/>
    <w:rsid w:val="007B284F"/>
    <w:rsid w:val="007B3535"/>
    <w:rsid w:val="007F2C06"/>
    <w:rsid w:val="00806460"/>
    <w:rsid w:val="00806B06"/>
    <w:rsid w:val="008076FB"/>
    <w:rsid w:val="008248CC"/>
    <w:rsid w:val="008375CB"/>
    <w:rsid w:val="008949EE"/>
    <w:rsid w:val="008A088E"/>
    <w:rsid w:val="008A4498"/>
    <w:rsid w:val="008A5FD9"/>
    <w:rsid w:val="008D2242"/>
    <w:rsid w:val="008D6169"/>
    <w:rsid w:val="008D7B90"/>
    <w:rsid w:val="00910DB8"/>
    <w:rsid w:val="00912C65"/>
    <w:rsid w:val="00924745"/>
    <w:rsid w:val="009541C4"/>
    <w:rsid w:val="009A49DE"/>
    <w:rsid w:val="009B2909"/>
    <w:rsid w:val="009B6749"/>
    <w:rsid w:val="009C4875"/>
    <w:rsid w:val="009D0E57"/>
    <w:rsid w:val="009D14B4"/>
    <w:rsid w:val="009D6EC8"/>
    <w:rsid w:val="009D7D78"/>
    <w:rsid w:val="00A03E0A"/>
    <w:rsid w:val="00A13F26"/>
    <w:rsid w:val="00A42E60"/>
    <w:rsid w:val="00A45A41"/>
    <w:rsid w:val="00A4604B"/>
    <w:rsid w:val="00A7257F"/>
    <w:rsid w:val="00A73B75"/>
    <w:rsid w:val="00A976E4"/>
    <w:rsid w:val="00AB6CFF"/>
    <w:rsid w:val="00AC2C07"/>
    <w:rsid w:val="00AC2CDE"/>
    <w:rsid w:val="00AD3337"/>
    <w:rsid w:val="00B260F3"/>
    <w:rsid w:val="00B624AA"/>
    <w:rsid w:val="00B728BF"/>
    <w:rsid w:val="00B74A77"/>
    <w:rsid w:val="00B77B2B"/>
    <w:rsid w:val="00B8369A"/>
    <w:rsid w:val="00B86A22"/>
    <w:rsid w:val="00B9737D"/>
    <w:rsid w:val="00BA64D1"/>
    <w:rsid w:val="00BC28A6"/>
    <w:rsid w:val="00C02DAD"/>
    <w:rsid w:val="00C660F0"/>
    <w:rsid w:val="00C70A12"/>
    <w:rsid w:val="00C72BD9"/>
    <w:rsid w:val="00C82CD3"/>
    <w:rsid w:val="00C85E92"/>
    <w:rsid w:val="00C952E4"/>
    <w:rsid w:val="00CB652D"/>
    <w:rsid w:val="00CE20AC"/>
    <w:rsid w:val="00D02E23"/>
    <w:rsid w:val="00D121DD"/>
    <w:rsid w:val="00D25619"/>
    <w:rsid w:val="00D32CFB"/>
    <w:rsid w:val="00D54C1F"/>
    <w:rsid w:val="00E47145"/>
    <w:rsid w:val="00E5279E"/>
    <w:rsid w:val="00E619C4"/>
    <w:rsid w:val="00E76D57"/>
    <w:rsid w:val="00EB5831"/>
    <w:rsid w:val="00F42507"/>
    <w:rsid w:val="00F70DE4"/>
    <w:rsid w:val="00F9232B"/>
    <w:rsid w:val="00F92864"/>
    <w:rsid w:val="00F96203"/>
    <w:rsid w:val="00F97C94"/>
    <w:rsid w:val="00FF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DDCF96A"/>
  <w15:docId w15:val="{86B753F0-E2C8-4CCD-AFC0-3BF80CBE9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7AE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EFD"/>
    <w:pPr>
      <w:ind w:left="720"/>
      <w:contextualSpacing/>
    </w:pPr>
  </w:style>
  <w:style w:type="table" w:styleId="TableGrid">
    <w:name w:val="Table Grid"/>
    <w:basedOn w:val="TableNormal"/>
    <w:uiPriority w:val="59"/>
    <w:rsid w:val="006E0E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3312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33120"/>
    <w:rPr>
      <w:sz w:val="22"/>
      <w:szCs w:val="22"/>
    </w:rPr>
  </w:style>
  <w:style w:type="paragraph" w:customStyle="1" w:styleId="TOCtitle">
    <w:name w:val="TOC title"/>
    <w:rsid w:val="008A4498"/>
    <w:pPr>
      <w:spacing w:after="360" w:line="280" w:lineRule="atLeast"/>
    </w:pPr>
    <w:rPr>
      <w:rFonts w:ascii="Arial Black" w:eastAsia="Times New Roman" w:hAnsi="Arial Black"/>
      <w:snapToGrid w:val="0"/>
      <w:color w:val="000000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DF2"/>
    <w:rPr>
      <w:rFonts w:ascii="Tahoma" w:hAnsi="Tahoma" w:cs="Tahoma"/>
      <w:sz w:val="16"/>
      <w:szCs w:val="16"/>
    </w:rPr>
  </w:style>
  <w:style w:type="paragraph" w:customStyle="1" w:styleId="Bodycopy">
    <w:name w:val="Body copy"/>
    <w:rsid w:val="005431D4"/>
    <w:pPr>
      <w:spacing w:before="120" w:line="280" w:lineRule="atLeast"/>
    </w:pPr>
    <w:rPr>
      <w:rFonts w:ascii="Arial" w:eastAsia="Times New Roman" w:hAnsi="Arial"/>
      <w:snapToGrid w:val="0"/>
      <w:color w:val="000000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1064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mbanker</dc:creator>
  <cp:lastModifiedBy>Joshua Molstre</cp:lastModifiedBy>
  <cp:revision>3</cp:revision>
  <cp:lastPrinted>2018-11-29T16:36:00Z</cp:lastPrinted>
  <dcterms:created xsi:type="dcterms:W3CDTF">2019-04-10T18:18:00Z</dcterms:created>
  <dcterms:modified xsi:type="dcterms:W3CDTF">2019-04-11T15:16:00Z</dcterms:modified>
</cp:coreProperties>
</file>