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6E0EFD" w:rsidRDefault="006E0EFD" w:rsidP="006E0EFD">
      <w:pPr>
        <w:rPr>
          <w:rFonts w:cs="Arial"/>
          <w:b/>
        </w:rPr>
      </w:pPr>
      <w:r w:rsidRPr="009D6EC8">
        <w:rPr>
          <w:rFonts w:cs="Arial"/>
          <w:b/>
        </w:rPr>
        <w:t>PROJECT TITLE:</w:t>
      </w:r>
      <w:r w:rsidR="000573C9">
        <w:rPr>
          <w:rFonts w:cs="Arial"/>
          <w:b/>
        </w:rPr>
        <w:t xml:space="preserve">  </w:t>
      </w:r>
      <w:r w:rsidR="00DB08D7">
        <w:rPr>
          <w:rFonts w:cs="Arial"/>
          <w:b/>
        </w:rPr>
        <w:t>Pollinator &amp; Beneficial Insect Strategic Habitat Program</w:t>
      </w:r>
    </w:p>
    <w:p w:rsidR="00DB08D7" w:rsidRPr="009D6EC8" w:rsidRDefault="00DB08D7" w:rsidP="006E0EFD">
      <w:pPr>
        <w:rPr>
          <w:rFonts w:cs="Arial"/>
        </w:rPr>
      </w:pPr>
    </w:p>
    <w:p w:rsidR="006E0EFD" w:rsidRPr="009D6EC8" w:rsidRDefault="006E0EFD" w:rsidP="006E0EFD">
      <w:pPr>
        <w:rPr>
          <w:rFonts w:cs="Arial"/>
        </w:rPr>
      </w:pPr>
      <w:r w:rsidRPr="009D6EC8">
        <w:rPr>
          <w:rFonts w:cs="Arial"/>
          <w:b/>
        </w:rPr>
        <w:t>I. PROJECT STATEMENT</w:t>
      </w:r>
    </w:p>
    <w:p w:rsidR="00DB08D7" w:rsidRDefault="00DB08D7" w:rsidP="00DB08D7">
      <w:r>
        <w:t xml:space="preserve">Dramatic declines of bees, butterflies, dragonflies and other beneficial insects that support our ecosystems and food systems have been raising significant alarm </w:t>
      </w:r>
      <w:r w:rsidR="004828DF">
        <w:t>amongst</w:t>
      </w:r>
      <w:r>
        <w:t xml:space="preserve"> scientists and conservation professionals both locally and </w:t>
      </w:r>
      <w:r w:rsidR="004828DF">
        <w:t>globally</w:t>
      </w:r>
      <w:r>
        <w:t xml:space="preserve">. The </w:t>
      </w:r>
      <w:r>
        <w:rPr>
          <w:i/>
        </w:rPr>
        <w:t xml:space="preserve">Pollinator and Beneficial Insect Strategic Habitat Program </w:t>
      </w:r>
      <w:r>
        <w:t xml:space="preserve">proposed here will build a new BWSR </w:t>
      </w:r>
      <w:r w:rsidR="00A16705">
        <w:t xml:space="preserve">initiative </w:t>
      </w:r>
      <w:r>
        <w:t xml:space="preserve">to restore and enhance approximately 1000 acres of diverse native habitat over 100 projects strategically located across Minnesota. Project placement and seed mix design will be tailored to address the habitat needs of a wide diversity of insects, including at-risk species. </w:t>
      </w:r>
      <w:r w:rsidR="00090AFD">
        <w:t xml:space="preserve">This program </w:t>
      </w:r>
      <w:r>
        <w:t xml:space="preserve">will </w:t>
      </w:r>
      <w:r w:rsidR="00ED0AD5">
        <w:t>align with the Governor’s new pollinator executive order (EO 19-28)</w:t>
      </w:r>
      <w:r w:rsidR="00090AFD">
        <w:t>,</w:t>
      </w:r>
      <w:r w:rsidR="00ED0AD5">
        <w:t xml:space="preserve"> </w:t>
      </w:r>
      <w:r w:rsidR="004A50CB">
        <w:t>a</w:t>
      </w:r>
      <w:r>
        <w:t>ddress several habitat goals and recommendations of the Governor’s Committee on Pollinator Protection (including GCPP recommendations 1.</w:t>
      </w:r>
      <w:r w:rsidR="004828DF">
        <w:t>1</w:t>
      </w:r>
      <w:r>
        <w:t xml:space="preserve"> and 1.2)</w:t>
      </w:r>
      <w:r w:rsidR="00090AFD">
        <w:t>,</w:t>
      </w:r>
      <w:r w:rsidR="00ED0AD5">
        <w:t xml:space="preserve"> and </w:t>
      </w:r>
      <w:r w:rsidR="004828DF">
        <w:t xml:space="preserve">help </w:t>
      </w:r>
      <w:r w:rsidR="00A37556">
        <w:t xml:space="preserve">attain goals of the </w:t>
      </w:r>
      <w:r w:rsidR="00ED0AD5">
        <w:t>Interagency Pollinator Protection Team.</w:t>
      </w:r>
    </w:p>
    <w:p w:rsidR="004A50CB" w:rsidRDefault="00090AFD" w:rsidP="00090AFD">
      <w:r>
        <w:rPr>
          <w:b/>
        </w:rPr>
        <w:t>Program and Project Types</w:t>
      </w:r>
      <w:r>
        <w:t xml:space="preserve">: Funding </w:t>
      </w:r>
      <w:r w:rsidR="0017149C">
        <w:t xml:space="preserve">through this new initiative will be distributed through </w:t>
      </w:r>
      <w:r>
        <w:t>BWSR</w:t>
      </w:r>
      <w:r w:rsidR="0017149C">
        <w:t xml:space="preserve">’s Cost-share process and </w:t>
      </w:r>
      <w:r>
        <w:t>a competitive grant RFP. Eligible project</w:t>
      </w:r>
      <w:r w:rsidR="0017149C">
        <w:t>s</w:t>
      </w:r>
      <w:r>
        <w:t xml:space="preserve"> </w:t>
      </w:r>
      <w:r w:rsidR="004A50CB">
        <w:t xml:space="preserve">will </w:t>
      </w:r>
      <w:r w:rsidR="0017149C">
        <w:t xml:space="preserve">include </w:t>
      </w:r>
      <w:r w:rsidR="004A50CB">
        <w:t>pu</w:t>
      </w:r>
      <w:r>
        <w:t xml:space="preserve">blic lands or </w:t>
      </w:r>
      <w:r w:rsidR="00A16705">
        <w:t xml:space="preserve">private </w:t>
      </w:r>
      <w:r>
        <w:t xml:space="preserve">lands with a public investment, including existing RIM easements, CRP, city parks, county parks, </w:t>
      </w:r>
      <w:r w:rsidR="004A50CB">
        <w:t xml:space="preserve">and </w:t>
      </w:r>
      <w:r>
        <w:t>protected natural areas. Projects will focus on</w:t>
      </w:r>
      <w:r w:rsidR="00A37556">
        <w:t>:</w:t>
      </w:r>
      <w:r>
        <w:t xml:space="preserve"> </w:t>
      </w:r>
    </w:p>
    <w:p w:rsidR="00A37556" w:rsidRDefault="00090AFD" w:rsidP="00090AFD">
      <w:r w:rsidRPr="00A37556">
        <w:rPr>
          <w:b/>
        </w:rPr>
        <w:t>1)</w:t>
      </w:r>
      <w:r>
        <w:t xml:space="preserve"> </w:t>
      </w:r>
      <w:proofErr w:type="gramStart"/>
      <w:r>
        <w:t>establishing</w:t>
      </w:r>
      <w:proofErr w:type="gramEnd"/>
      <w:r>
        <w:t xml:space="preserve"> new floral rich plots or riparian plantings 0.5 to 5 acres in size and/or </w:t>
      </w:r>
      <w:r w:rsidR="00A37556">
        <w:t xml:space="preserve">   </w:t>
      </w:r>
    </w:p>
    <w:p w:rsidR="00090AFD" w:rsidRDefault="00090AFD" w:rsidP="00090AFD">
      <w:r w:rsidRPr="00A37556">
        <w:rPr>
          <w:b/>
        </w:rPr>
        <w:t>2</w:t>
      </w:r>
      <w:r>
        <w:t>)</w:t>
      </w:r>
      <w:r w:rsidR="00A37556">
        <w:t xml:space="preserve"> </w:t>
      </w:r>
      <w:proofErr w:type="gramStart"/>
      <w:r>
        <w:t>enhancing</w:t>
      </w:r>
      <w:proofErr w:type="gramEnd"/>
      <w:r>
        <w:t xml:space="preserve"> prairie, savanna, wetland, and shoreline communities that provide high value habitat. Project</w:t>
      </w:r>
      <w:r w:rsidR="00A16705">
        <w:t>s</w:t>
      </w:r>
      <w:r>
        <w:t xml:space="preserve"> will be </w:t>
      </w:r>
      <w:r w:rsidR="00A37556">
        <w:t>planned</w:t>
      </w:r>
      <w:r>
        <w:t xml:space="preserve"> to benefit a variety of beneficial insects in need of habitat improvements, including at-risk species (e.g., rusty-patched bumblebees), and </w:t>
      </w:r>
      <w:r w:rsidR="00A37556">
        <w:t xml:space="preserve">other </w:t>
      </w:r>
      <w:r>
        <w:t>declining insect</w:t>
      </w:r>
      <w:r w:rsidR="00A37556">
        <w:t xml:space="preserve"> guilds </w:t>
      </w:r>
      <w:r>
        <w:t xml:space="preserve">(e.g., dragonflies, native bees, butterflies). </w:t>
      </w:r>
    </w:p>
    <w:p w:rsidR="00DB08D7" w:rsidRDefault="00DB08D7" w:rsidP="00DB08D7">
      <w:r>
        <w:rPr>
          <w:b/>
        </w:rPr>
        <w:t>Project Selection/ranking</w:t>
      </w:r>
      <w:r>
        <w:t>: Project areas will be selected based on The Minnesota Prairie Conservation Plan, Minnesota’s Wildlife Action Plan, pollinator habitat mapping, and range maps of at-risk species. Within these areas, sites will be selected based on size, protection from pesticide</w:t>
      </w:r>
      <w:r w:rsidR="004828DF">
        <w:t xml:space="preserve"> drift</w:t>
      </w:r>
      <w:r>
        <w:t>, proximity to other permanently protected habitat and riparian areas, and likelihood of project success. Regional ranking criteria/assessment forms will be developed, and technical experts around the state will assist with the ranking of projects, aligning funding with conservation programs, identifying matching funds, and working with landowners</w:t>
      </w:r>
      <w:r w:rsidR="00546456">
        <w:t>.</w:t>
      </w:r>
    </w:p>
    <w:p w:rsidR="00090AFD" w:rsidRDefault="00DB08D7" w:rsidP="00DB08D7">
      <w:r>
        <w:rPr>
          <w:b/>
        </w:rPr>
        <w:t>Standards:</w:t>
      </w:r>
      <w:r>
        <w:t xml:space="preserve"> </w:t>
      </w:r>
      <w:r w:rsidR="00090AFD">
        <w:t>New p</w:t>
      </w:r>
      <w:r>
        <w:t xml:space="preserve">ollinator–beneficial Insect conservation plans will be developed to establish </w:t>
      </w:r>
      <w:r w:rsidR="00090AFD">
        <w:t xml:space="preserve">diverse, </w:t>
      </w:r>
      <w:r>
        <w:t xml:space="preserve">local </w:t>
      </w:r>
      <w:proofErr w:type="gramStart"/>
      <w:r>
        <w:t>ecotype</w:t>
      </w:r>
      <w:proofErr w:type="gramEnd"/>
      <w:r>
        <w:t xml:space="preserve"> vegetation </w:t>
      </w:r>
      <w:r w:rsidR="00090AFD">
        <w:t>that benefit</w:t>
      </w:r>
      <w:r w:rsidR="004828DF">
        <w:t>s</w:t>
      </w:r>
      <w:r w:rsidR="00090AFD">
        <w:t xml:space="preserve"> priority insect species and </w:t>
      </w:r>
      <w:r>
        <w:t>protect</w:t>
      </w:r>
      <w:r w:rsidR="00090AFD">
        <w:t>s</w:t>
      </w:r>
      <w:r>
        <w:t xml:space="preserve"> and restore</w:t>
      </w:r>
      <w:r w:rsidR="004828DF">
        <w:t>s</w:t>
      </w:r>
      <w:r>
        <w:t xml:space="preserve"> natural plant communities. </w:t>
      </w:r>
    </w:p>
    <w:p w:rsidR="00DB08D7" w:rsidRDefault="00DB08D7" w:rsidP="00DB08D7">
      <w:r>
        <w:rPr>
          <w:b/>
        </w:rPr>
        <w:t>Outreach:</w:t>
      </w:r>
      <w:r>
        <w:t xml:space="preserve"> Four regional pollinator habitat workshops with Xerces Society and local conservation partners will be held and new pollinator-beneficial technical information will be adde</w:t>
      </w:r>
      <w:r w:rsidR="004A50CB">
        <w:t xml:space="preserve">d to BWSR’s Pollinator Toolbox. </w:t>
      </w:r>
      <w:r>
        <w:t xml:space="preserve">“Success Information” will be requested from practitioners working with the funding and this information </w:t>
      </w:r>
      <w:r w:rsidR="00A37556">
        <w:t xml:space="preserve">along with featured case studies </w:t>
      </w:r>
      <w:r>
        <w:t xml:space="preserve">will be added to BWSR’s </w:t>
      </w:r>
      <w:r w:rsidR="004828DF">
        <w:t>“</w:t>
      </w:r>
      <w:r>
        <w:t>What’s Working</w:t>
      </w:r>
      <w:r w:rsidR="004828DF">
        <w:t>”</w:t>
      </w:r>
      <w:r>
        <w:t xml:space="preserve"> </w:t>
      </w:r>
      <w:r w:rsidR="004828DF">
        <w:t>w</w:t>
      </w:r>
      <w:r>
        <w:t xml:space="preserve">ebpage. </w:t>
      </w:r>
    </w:p>
    <w:p w:rsidR="00DB08D7" w:rsidRDefault="00DB08D7" w:rsidP="00821B37">
      <w:pPr>
        <w:spacing w:after="120"/>
        <w:rPr>
          <w:rFonts w:cs="Arial"/>
          <w:b/>
        </w:rPr>
      </w:pPr>
    </w:p>
    <w:p w:rsidR="006E0EFD" w:rsidRPr="009D6EC8" w:rsidRDefault="006E0EFD" w:rsidP="00821B37">
      <w:pPr>
        <w:spacing w:after="12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394"/>
        <w:gridCol w:w="1789"/>
        <w:gridCol w:w="293"/>
      </w:tblGrid>
      <w:tr w:rsidR="00DB08D7" w:rsidRPr="00EB5831" w:rsidTr="00FD5525">
        <w:trPr>
          <w:trHeight w:val="990"/>
        </w:trPr>
        <w:tc>
          <w:tcPr>
            <w:tcW w:w="10183" w:type="dxa"/>
            <w:gridSpan w:val="2"/>
          </w:tcPr>
          <w:p w:rsidR="00DB08D7" w:rsidRDefault="00DB08D7" w:rsidP="00FD5525">
            <w:r w:rsidRPr="00EB5831">
              <w:rPr>
                <w:rFonts w:cs="Arial"/>
                <w:b/>
              </w:rPr>
              <w:t>Activity 1:</w:t>
            </w:r>
            <w:r w:rsidRPr="00EB5831">
              <w:rPr>
                <w:rFonts w:cs="Arial"/>
                <w:i/>
              </w:rPr>
              <w:t xml:space="preserve"> </w:t>
            </w:r>
            <w:r>
              <w:t xml:space="preserve">Develop project ranking criteria and pollinator-beneficial insect conservation plan templates, conduct four regional pollinator workshops. </w:t>
            </w:r>
          </w:p>
          <w:p w:rsidR="00DB08D7" w:rsidRDefault="00DB08D7" w:rsidP="00FD5525">
            <w:pPr>
              <w:widowControl w:val="0"/>
              <w:rPr>
                <w:rFonts w:cs="Arial"/>
              </w:rPr>
            </w:pPr>
          </w:p>
          <w:p w:rsidR="00DB08D7" w:rsidRPr="00E50FB0" w:rsidRDefault="00DB08D7" w:rsidP="00FD5525">
            <w:pPr>
              <w:widowControl w:val="0"/>
              <w:rPr>
                <w:rFonts w:cs="Arial"/>
                <w:b/>
                <w:bCs/>
                <w:color w:val="000000"/>
              </w:rPr>
            </w:pPr>
            <w:r>
              <w:rPr>
                <w:rFonts w:cs="Arial"/>
                <w:b/>
                <w:bCs/>
                <w:color w:val="000000"/>
              </w:rPr>
              <w:t>ENRTF BUDGET: $59,000</w:t>
            </w:r>
          </w:p>
        </w:tc>
        <w:tc>
          <w:tcPr>
            <w:tcW w:w="293" w:type="dxa"/>
          </w:tcPr>
          <w:p w:rsidR="00DB08D7" w:rsidRPr="00EB5831" w:rsidRDefault="00DB08D7" w:rsidP="00FD5525">
            <w:pPr>
              <w:rPr>
                <w:rFonts w:cs="Arial"/>
              </w:rPr>
            </w:pP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3" w:type="dxa"/>
        </w:trPr>
        <w:tc>
          <w:tcPr>
            <w:tcW w:w="8394" w:type="dxa"/>
          </w:tcPr>
          <w:p w:rsidR="00DB08D7" w:rsidRPr="009D6EC8" w:rsidRDefault="00DB08D7" w:rsidP="00FD5525">
            <w:pPr>
              <w:rPr>
                <w:rFonts w:cs="Arial"/>
                <w:b/>
              </w:rPr>
            </w:pPr>
            <w:r w:rsidRPr="009D6EC8">
              <w:rPr>
                <w:rFonts w:cs="Arial"/>
                <w:b/>
              </w:rPr>
              <w:t>Outcome</w:t>
            </w:r>
            <w:r>
              <w:rPr>
                <w:rFonts w:cs="Arial"/>
                <w:b/>
              </w:rPr>
              <w:t xml:space="preserve">: </w:t>
            </w:r>
          </w:p>
        </w:tc>
        <w:tc>
          <w:tcPr>
            <w:tcW w:w="1789" w:type="dxa"/>
          </w:tcPr>
          <w:p w:rsidR="00DB08D7" w:rsidRPr="009D6EC8" w:rsidRDefault="00DB08D7" w:rsidP="00FD5525">
            <w:pPr>
              <w:rPr>
                <w:rFonts w:cs="Arial"/>
                <w:b/>
              </w:rPr>
            </w:pPr>
            <w:r w:rsidRPr="009D6EC8">
              <w:rPr>
                <w:rFonts w:cs="Arial"/>
                <w:b/>
              </w:rPr>
              <w:t>Completion Date</w:t>
            </w:r>
          </w:p>
        </w:tc>
      </w:tr>
      <w:tr w:rsidR="00546456"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3" w:type="dxa"/>
        </w:trPr>
        <w:tc>
          <w:tcPr>
            <w:tcW w:w="8394" w:type="dxa"/>
          </w:tcPr>
          <w:p w:rsidR="00546456" w:rsidRPr="00546456" w:rsidRDefault="00546456" w:rsidP="00546456">
            <w:pPr>
              <w:rPr>
                <w:rFonts w:cs="Arial"/>
              </w:rPr>
            </w:pPr>
            <w:r w:rsidRPr="00546456">
              <w:rPr>
                <w:rFonts w:cs="Arial"/>
              </w:rPr>
              <w:t>1.  Assemble an advisory team from DNR, TNC, SWCDs, USFWS, Xerces Society, Pheasants Forever, and other conservation partners to guide program development, combine available habitat maps, and develop regional project ranking criteria.</w:t>
            </w:r>
            <w:r w:rsidRPr="00546456">
              <w:t xml:space="preserve"> </w:t>
            </w:r>
          </w:p>
        </w:tc>
        <w:tc>
          <w:tcPr>
            <w:tcW w:w="1789" w:type="dxa"/>
          </w:tcPr>
          <w:p w:rsidR="00546456" w:rsidRPr="009D6EC8" w:rsidRDefault="00546456" w:rsidP="00546456">
            <w:pPr>
              <w:rPr>
                <w:rFonts w:cs="Arial"/>
                <w:i/>
              </w:rPr>
            </w:pPr>
            <w:r>
              <w:rPr>
                <w:rFonts w:cs="Arial"/>
                <w:i/>
              </w:rPr>
              <w:t>December 2020</w:t>
            </w:r>
          </w:p>
        </w:tc>
      </w:tr>
      <w:tr w:rsidR="00546456"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3" w:type="dxa"/>
        </w:trPr>
        <w:tc>
          <w:tcPr>
            <w:tcW w:w="8394" w:type="dxa"/>
          </w:tcPr>
          <w:p w:rsidR="00546456" w:rsidRPr="00A67380" w:rsidRDefault="00546456" w:rsidP="00546456">
            <w:pPr>
              <w:rPr>
                <w:rFonts w:cs="Arial"/>
                <w:i/>
              </w:rPr>
            </w:pPr>
            <w:r w:rsidRPr="00A67380">
              <w:rPr>
                <w:rFonts w:cs="Arial"/>
                <w:i/>
              </w:rPr>
              <w:t xml:space="preserve">2. </w:t>
            </w:r>
            <w:r>
              <w:rPr>
                <w:rFonts w:cs="Arial"/>
                <w:i/>
              </w:rPr>
              <w:t xml:space="preserve"> </w:t>
            </w:r>
            <w:r>
              <w:t>Col</w:t>
            </w:r>
            <w:r w:rsidRPr="009A038C">
              <w:t>laborate with Xerces Society to develop two</w:t>
            </w:r>
            <w:r>
              <w:t xml:space="preserve"> pollinator – beneficial i</w:t>
            </w:r>
            <w:r w:rsidRPr="009A038C">
              <w:t xml:space="preserve">nsect conservation plan templates, one for new habitat installations, and one for enhancement/management of existing habitat, based on Xerces’ existing habitat guidance. </w:t>
            </w:r>
          </w:p>
        </w:tc>
        <w:tc>
          <w:tcPr>
            <w:tcW w:w="1789" w:type="dxa"/>
          </w:tcPr>
          <w:p w:rsidR="00546456" w:rsidRPr="009D6EC8" w:rsidRDefault="00546456" w:rsidP="00546456">
            <w:pPr>
              <w:rPr>
                <w:rFonts w:cs="Arial"/>
                <w:i/>
              </w:rPr>
            </w:pPr>
            <w:r>
              <w:rPr>
                <w:rFonts w:cs="Arial"/>
                <w:i/>
              </w:rPr>
              <w:t>January 2021</w:t>
            </w:r>
          </w:p>
        </w:tc>
      </w:tr>
      <w:tr w:rsidR="00546456"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3" w:type="dxa"/>
        </w:trPr>
        <w:tc>
          <w:tcPr>
            <w:tcW w:w="8394" w:type="dxa"/>
          </w:tcPr>
          <w:p w:rsidR="00546456" w:rsidRPr="00A67380" w:rsidRDefault="00546456" w:rsidP="00546456">
            <w:pPr>
              <w:rPr>
                <w:rFonts w:cs="Arial"/>
                <w:i/>
              </w:rPr>
            </w:pPr>
            <w:r w:rsidRPr="00A67380">
              <w:rPr>
                <w:rFonts w:cs="Arial"/>
                <w:i/>
              </w:rPr>
              <w:lastRenderedPageBreak/>
              <w:t xml:space="preserve">3.  </w:t>
            </w:r>
            <w:r>
              <w:t>Collaborate with Xerces Society on four regional pollinator workshops to present program requirements, best practices and new conservation plan templates.</w:t>
            </w:r>
          </w:p>
        </w:tc>
        <w:tc>
          <w:tcPr>
            <w:tcW w:w="1789" w:type="dxa"/>
          </w:tcPr>
          <w:p w:rsidR="00546456" w:rsidRDefault="00546456" w:rsidP="00546456">
            <w:pPr>
              <w:rPr>
                <w:rFonts w:cs="Arial"/>
                <w:i/>
              </w:rPr>
            </w:pPr>
            <w:r>
              <w:rPr>
                <w:rFonts w:cs="Arial"/>
                <w:i/>
              </w:rPr>
              <w:t>December 2021</w:t>
            </w:r>
          </w:p>
        </w:tc>
      </w:tr>
    </w:tbl>
    <w:p w:rsidR="00DB08D7" w:rsidRDefault="00DB08D7" w:rsidP="00DB08D7">
      <w:pPr>
        <w:tabs>
          <w:tab w:val="left" w:pos="540"/>
        </w:tabs>
        <w:autoSpaceDE w:val="0"/>
        <w:autoSpaceDN w:val="0"/>
        <w:adjustRightInd w:val="0"/>
        <w:rPr>
          <w:rFonts w:cs="Arial"/>
          <w:i/>
        </w:rPr>
      </w:pPr>
    </w:p>
    <w:tbl>
      <w:tblPr>
        <w:tblW w:w="9810" w:type="dxa"/>
        <w:tblLook w:val="04A0" w:firstRow="1" w:lastRow="0" w:firstColumn="1" w:lastColumn="0" w:noHBand="0" w:noVBand="1"/>
      </w:tblPr>
      <w:tblGrid>
        <w:gridCol w:w="7831"/>
        <w:gridCol w:w="1462"/>
        <w:gridCol w:w="517"/>
      </w:tblGrid>
      <w:tr w:rsidR="00DB08D7" w:rsidRPr="00EB5831" w:rsidTr="00FD5525">
        <w:trPr>
          <w:gridAfter w:val="1"/>
          <w:wAfter w:w="517" w:type="dxa"/>
        </w:trPr>
        <w:tc>
          <w:tcPr>
            <w:tcW w:w="9293" w:type="dxa"/>
            <w:gridSpan w:val="2"/>
          </w:tcPr>
          <w:p w:rsidR="00DB08D7" w:rsidRDefault="00DB08D7" w:rsidP="00FD5525">
            <w:r w:rsidRPr="00EB5831">
              <w:rPr>
                <w:rFonts w:cs="Arial"/>
                <w:b/>
              </w:rPr>
              <w:t xml:space="preserve">Activity </w:t>
            </w:r>
            <w:r>
              <w:rPr>
                <w:rFonts w:cs="Arial"/>
                <w:b/>
              </w:rPr>
              <w:t>2</w:t>
            </w:r>
            <w:r w:rsidRPr="00EB5831">
              <w:rPr>
                <w:rFonts w:cs="Arial"/>
                <w:b/>
              </w:rPr>
              <w:t>:</w:t>
            </w:r>
            <w:r w:rsidRPr="00EB5831">
              <w:rPr>
                <w:rFonts w:cs="Arial"/>
                <w:i/>
              </w:rPr>
              <w:t xml:space="preserve"> </w:t>
            </w:r>
            <w:r>
              <w:t>Restore and enhance approximately 1000 acres across 100 sites on conservation lands.</w:t>
            </w:r>
          </w:p>
          <w:p w:rsidR="00DB08D7" w:rsidRPr="0015165B" w:rsidRDefault="00DB08D7" w:rsidP="00FD5525">
            <w:pPr>
              <w:shd w:val="clear" w:color="auto" w:fill="FFFFFF"/>
              <w:rPr>
                <w:color w:val="222222"/>
              </w:rPr>
            </w:pPr>
          </w:p>
          <w:p w:rsidR="00DB08D7" w:rsidRPr="00E50FB0" w:rsidRDefault="00DB08D7" w:rsidP="00FD5525">
            <w:pPr>
              <w:autoSpaceDE w:val="0"/>
              <w:autoSpaceDN w:val="0"/>
              <w:adjustRightInd w:val="0"/>
              <w:rPr>
                <w:rFonts w:cs="Arial"/>
                <w:b/>
                <w:bCs/>
                <w:color w:val="000000"/>
              </w:rPr>
            </w:pPr>
            <w:r>
              <w:rPr>
                <w:rFonts w:cs="Arial"/>
                <w:b/>
                <w:bCs/>
                <w:color w:val="000000"/>
              </w:rPr>
              <w:t>ENRTF BUDGET</w:t>
            </w:r>
            <w:r w:rsidRPr="006D733B">
              <w:rPr>
                <w:rFonts w:cs="Arial"/>
                <w:b/>
                <w:bCs/>
              </w:rPr>
              <w:t xml:space="preserve">: </w:t>
            </w:r>
            <w:r>
              <w:rPr>
                <w:rFonts w:cs="Arial"/>
                <w:b/>
                <w:bCs/>
              </w:rPr>
              <w:t>$720,000</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7831" w:type="dxa"/>
          </w:tcPr>
          <w:p w:rsidR="00DB08D7" w:rsidRPr="009D6EC8" w:rsidRDefault="00DB08D7" w:rsidP="00FD5525">
            <w:pPr>
              <w:rPr>
                <w:rFonts w:cs="Arial"/>
                <w:b/>
              </w:rPr>
            </w:pPr>
            <w:r w:rsidRPr="009D6EC8">
              <w:rPr>
                <w:rFonts w:cs="Arial"/>
                <w:b/>
              </w:rPr>
              <w:t>Outcome</w:t>
            </w:r>
            <w:r>
              <w:rPr>
                <w:rFonts w:cs="Arial"/>
                <w:b/>
              </w:rPr>
              <w:t xml:space="preserve">: </w:t>
            </w:r>
          </w:p>
        </w:tc>
        <w:tc>
          <w:tcPr>
            <w:tcW w:w="1979" w:type="dxa"/>
            <w:gridSpan w:val="2"/>
          </w:tcPr>
          <w:p w:rsidR="00DB08D7" w:rsidRPr="009D6EC8" w:rsidRDefault="00DB08D7" w:rsidP="00FD5525">
            <w:pPr>
              <w:rPr>
                <w:rFonts w:cs="Arial"/>
                <w:b/>
              </w:rPr>
            </w:pPr>
            <w:r w:rsidRPr="009D6EC8">
              <w:rPr>
                <w:rFonts w:cs="Arial"/>
                <w:b/>
              </w:rPr>
              <w:t>Completion Date</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831" w:type="dxa"/>
          </w:tcPr>
          <w:p w:rsidR="00DB08D7" w:rsidRPr="00A67380" w:rsidRDefault="00DB08D7" w:rsidP="00FD5525">
            <w:pPr>
              <w:shd w:val="clear" w:color="auto" w:fill="FFFFFF"/>
              <w:spacing w:line="276" w:lineRule="auto"/>
              <w:contextualSpacing/>
              <w:rPr>
                <w:rFonts w:cs="Arial"/>
                <w:i/>
              </w:rPr>
            </w:pPr>
            <w:r w:rsidRPr="00A67380">
              <w:rPr>
                <w:rFonts w:cs="Arial"/>
                <w:i/>
              </w:rPr>
              <w:t xml:space="preserve">1.  </w:t>
            </w:r>
            <w:r>
              <w:t>SWCDs or their designees develop pollinator-beneficial insect conservation plans/conservation plan updates for awarded projects on protected lands.</w:t>
            </w:r>
          </w:p>
        </w:tc>
        <w:tc>
          <w:tcPr>
            <w:tcW w:w="1979" w:type="dxa"/>
            <w:gridSpan w:val="2"/>
          </w:tcPr>
          <w:p w:rsidR="00DB08D7" w:rsidRPr="009D6EC8" w:rsidRDefault="00701820" w:rsidP="00701820">
            <w:pPr>
              <w:rPr>
                <w:rFonts w:cs="Arial"/>
                <w:i/>
              </w:rPr>
            </w:pPr>
            <w:r>
              <w:rPr>
                <w:rFonts w:cs="Arial"/>
                <w:i/>
              </w:rPr>
              <w:t>December 2021</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831" w:type="dxa"/>
          </w:tcPr>
          <w:p w:rsidR="00DB08D7" w:rsidRPr="006D733B" w:rsidRDefault="00DB08D7" w:rsidP="00FD5525">
            <w:pPr>
              <w:shd w:val="clear" w:color="auto" w:fill="FFFFFF"/>
              <w:spacing w:line="276" w:lineRule="auto"/>
              <w:contextualSpacing/>
              <w:rPr>
                <w:i/>
                <w:color w:val="222222"/>
              </w:rPr>
            </w:pPr>
            <w:r>
              <w:rPr>
                <w:rFonts w:cs="Arial"/>
                <w:i/>
              </w:rPr>
              <w:t>2</w:t>
            </w:r>
            <w:r w:rsidRPr="00A67380">
              <w:rPr>
                <w:rFonts w:cs="Arial"/>
                <w:i/>
              </w:rPr>
              <w:t xml:space="preserve">.  </w:t>
            </w:r>
            <w:r>
              <w:t xml:space="preserve">Conduct site preparation, planting and management of projects with the goal of establishing and maintaining high diversity plantings.  </w:t>
            </w:r>
          </w:p>
        </w:tc>
        <w:tc>
          <w:tcPr>
            <w:tcW w:w="1979" w:type="dxa"/>
            <w:gridSpan w:val="2"/>
          </w:tcPr>
          <w:p w:rsidR="00701820" w:rsidRDefault="00701820" w:rsidP="00FD5525">
            <w:pPr>
              <w:rPr>
                <w:rFonts w:cs="Arial"/>
                <w:i/>
              </w:rPr>
            </w:pPr>
            <w:r>
              <w:rPr>
                <w:rFonts w:cs="Arial"/>
                <w:i/>
              </w:rPr>
              <w:t>April 2022-</w:t>
            </w:r>
          </w:p>
          <w:p w:rsidR="00DB08D7" w:rsidRPr="009D6EC8" w:rsidRDefault="00DB08D7" w:rsidP="00FD5525">
            <w:pPr>
              <w:rPr>
                <w:rFonts w:cs="Arial"/>
                <w:i/>
              </w:rPr>
            </w:pPr>
            <w:r>
              <w:rPr>
                <w:rFonts w:cs="Arial"/>
                <w:i/>
              </w:rPr>
              <w:t>January 2023</w:t>
            </w:r>
          </w:p>
        </w:tc>
      </w:tr>
    </w:tbl>
    <w:p w:rsidR="00DB08D7" w:rsidRPr="009D6EC8" w:rsidRDefault="00DB08D7" w:rsidP="00DB08D7">
      <w:pPr>
        <w:rPr>
          <w:rFonts w:cs="Arial"/>
          <w:i/>
        </w:rPr>
      </w:pPr>
    </w:p>
    <w:tbl>
      <w:tblPr>
        <w:tblW w:w="10080" w:type="dxa"/>
        <w:tblLook w:val="04A0" w:firstRow="1" w:lastRow="0" w:firstColumn="1" w:lastColumn="0" w:noHBand="0" w:noVBand="1"/>
      </w:tblPr>
      <w:tblGrid>
        <w:gridCol w:w="8183"/>
        <w:gridCol w:w="1520"/>
        <w:gridCol w:w="377"/>
      </w:tblGrid>
      <w:tr w:rsidR="00DB08D7" w:rsidRPr="00EB5831" w:rsidTr="00FD5525">
        <w:trPr>
          <w:gridAfter w:val="1"/>
          <w:wAfter w:w="377" w:type="dxa"/>
        </w:trPr>
        <w:tc>
          <w:tcPr>
            <w:tcW w:w="9703" w:type="dxa"/>
            <w:gridSpan w:val="2"/>
          </w:tcPr>
          <w:p w:rsidR="00DB08D7" w:rsidRDefault="00DB08D7" w:rsidP="00FD5525">
            <w:r w:rsidRPr="00EB5831">
              <w:rPr>
                <w:rFonts w:cs="Arial"/>
                <w:b/>
              </w:rPr>
              <w:t xml:space="preserve">Activity </w:t>
            </w:r>
            <w:r>
              <w:rPr>
                <w:rFonts w:cs="Arial"/>
                <w:b/>
              </w:rPr>
              <w:t>3</w:t>
            </w:r>
            <w:r w:rsidRPr="00EB5831">
              <w:rPr>
                <w:rFonts w:cs="Arial"/>
                <w:b/>
              </w:rPr>
              <w:t>:</w:t>
            </w:r>
            <w:r w:rsidRPr="00EB5831">
              <w:rPr>
                <w:rFonts w:cs="Arial"/>
                <w:i/>
              </w:rPr>
              <w:t xml:space="preserve"> </w:t>
            </w:r>
            <w:r w:rsidR="000C3683">
              <w:t xml:space="preserve">Assess </w:t>
            </w:r>
            <w:r>
              <w:t xml:space="preserve">disseminate results, findings, and best practices. </w:t>
            </w:r>
          </w:p>
          <w:p w:rsidR="00DB08D7" w:rsidRPr="003B2415" w:rsidRDefault="00DB08D7" w:rsidP="00FD5525">
            <w:pPr>
              <w:widowControl w:val="0"/>
              <w:rPr>
                <w:rFonts w:cs="Arial"/>
              </w:rPr>
            </w:pPr>
          </w:p>
          <w:p w:rsidR="00DB08D7" w:rsidRPr="00E50FB0" w:rsidRDefault="00DB08D7" w:rsidP="00FD5525">
            <w:pPr>
              <w:autoSpaceDE w:val="0"/>
              <w:autoSpaceDN w:val="0"/>
              <w:adjustRightInd w:val="0"/>
              <w:rPr>
                <w:rFonts w:cs="Arial"/>
                <w:b/>
                <w:bCs/>
                <w:color w:val="000000"/>
              </w:rPr>
            </w:pPr>
            <w:r>
              <w:rPr>
                <w:rFonts w:cs="Arial"/>
                <w:b/>
                <w:bCs/>
                <w:color w:val="000000"/>
              </w:rPr>
              <w:t>ENRTF BUDGET: $1,500</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8183" w:type="dxa"/>
          </w:tcPr>
          <w:p w:rsidR="00DB08D7" w:rsidRPr="009D6EC8" w:rsidRDefault="00DB08D7" w:rsidP="00FD5525">
            <w:pPr>
              <w:rPr>
                <w:rFonts w:cs="Arial"/>
                <w:b/>
              </w:rPr>
            </w:pPr>
            <w:r w:rsidRPr="009D6EC8">
              <w:rPr>
                <w:rFonts w:cs="Arial"/>
                <w:b/>
              </w:rPr>
              <w:t>Outcome</w:t>
            </w:r>
            <w:r>
              <w:rPr>
                <w:rFonts w:cs="Arial"/>
                <w:b/>
              </w:rPr>
              <w:t>:</w:t>
            </w:r>
          </w:p>
        </w:tc>
        <w:tc>
          <w:tcPr>
            <w:tcW w:w="1897" w:type="dxa"/>
            <w:gridSpan w:val="2"/>
          </w:tcPr>
          <w:p w:rsidR="00DB08D7" w:rsidRPr="009D6EC8" w:rsidRDefault="00DB08D7" w:rsidP="00FD5525">
            <w:pPr>
              <w:jc w:val="center"/>
              <w:rPr>
                <w:rFonts w:cs="Arial"/>
                <w:b/>
              </w:rPr>
            </w:pPr>
            <w:r w:rsidRPr="009D6EC8">
              <w:rPr>
                <w:rFonts w:cs="Arial"/>
                <w:b/>
              </w:rPr>
              <w:t>Completion Date</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8183" w:type="dxa"/>
          </w:tcPr>
          <w:p w:rsidR="00DB08D7" w:rsidRPr="009A58AA" w:rsidRDefault="00DB08D7" w:rsidP="00701820">
            <w:pPr>
              <w:shd w:val="clear" w:color="auto" w:fill="FFFFFF"/>
              <w:spacing w:line="276" w:lineRule="auto"/>
              <w:contextualSpacing/>
              <w:rPr>
                <w:rFonts w:cs="Arial"/>
                <w:i/>
              </w:rPr>
            </w:pPr>
            <w:r w:rsidRPr="009A58AA">
              <w:rPr>
                <w:rFonts w:cs="Arial"/>
                <w:i/>
              </w:rPr>
              <w:t xml:space="preserve">1.  </w:t>
            </w:r>
            <w:r w:rsidR="00A37556">
              <w:t>A</w:t>
            </w:r>
            <w:r>
              <w:t xml:space="preserve">ssemble the advisory team to discuss </w:t>
            </w:r>
            <w:r w:rsidR="000C3683">
              <w:t>results of project assessment</w:t>
            </w:r>
            <w:r w:rsidR="00546456">
              <w:t>s</w:t>
            </w:r>
            <w:r w:rsidR="000C3683">
              <w:t xml:space="preserve">, </w:t>
            </w:r>
            <w:r>
              <w:t>successes of the program</w:t>
            </w:r>
            <w:r w:rsidR="000C3683">
              <w:t>, a</w:t>
            </w:r>
            <w:r>
              <w:t xml:space="preserve">reas of improvement, </w:t>
            </w:r>
            <w:r w:rsidR="000C3683">
              <w:t>and</w:t>
            </w:r>
            <w:r>
              <w:t xml:space="preserve"> next steps to continue </w:t>
            </w:r>
            <w:r w:rsidR="00546456">
              <w:t xml:space="preserve">refining the grant program and </w:t>
            </w:r>
            <w:r w:rsidR="00701820">
              <w:t xml:space="preserve">pursuing additional funding sources. </w:t>
            </w:r>
            <w:r>
              <w:t xml:space="preserve">  </w:t>
            </w:r>
          </w:p>
        </w:tc>
        <w:tc>
          <w:tcPr>
            <w:tcW w:w="1897" w:type="dxa"/>
            <w:gridSpan w:val="2"/>
          </w:tcPr>
          <w:p w:rsidR="00DB08D7" w:rsidRPr="009D6EC8" w:rsidRDefault="00DB08D7" w:rsidP="00FD5525">
            <w:pPr>
              <w:rPr>
                <w:rFonts w:cs="Arial"/>
                <w:i/>
              </w:rPr>
            </w:pPr>
            <w:r>
              <w:rPr>
                <w:rFonts w:cs="Arial"/>
                <w:i/>
              </w:rPr>
              <w:t>April 2023</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8183" w:type="dxa"/>
          </w:tcPr>
          <w:p w:rsidR="00DB08D7" w:rsidRPr="006D733B" w:rsidRDefault="00DB08D7" w:rsidP="00FD5525">
            <w:pPr>
              <w:shd w:val="clear" w:color="auto" w:fill="FFFFFF"/>
              <w:spacing w:line="276" w:lineRule="auto"/>
              <w:contextualSpacing/>
              <w:rPr>
                <w:i/>
                <w:color w:val="222222"/>
              </w:rPr>
            </w:pPr>
            <w:r>
              <w:rPr>
                <w:rFonts w:cs="Arial"/>
                <w:i/>
              </w:rPr>
              <w:t>2</w:t>
            </w:r>
            <w:r w:rsidRPr="009A58AA">
              <w:rPr>
                <w:rFonts w:cs="Arial"/>
                <w:i/>
              </w:rPr>
              <w:t xml:space="preserve">.  </w:t>
            </w:r>
            <w:r>
              <w:t>Add ENRTF signage at all project sites</w:t>
            </w:r>
          </w:p>
        </w:tc>
        <w:tc>
          <w:tcPr>
            <w:tcW w:w="1897" w:type="dxa"/>
            <w:gridSpan w:val="2"/>
          </w:tcPr>
          <w:p w:rsidR="00DB08D7" w:rsidRPr="009D6EC8" w:rsidRDefault="00DB08D7" w:rsidP="00FD5525">
            <w:pPr>
              <w:rPr>
                <w:rFonts w:cs="Arial"/>
                <w:i/>
              </w:rPr>
            </w:pPr>
            <w:r>
              <w:rPr>
                <w:rFonts w:cs="Arial"/>
                <w:i/>
              </w:rPr>
              <w:t>June 2023</w:t>
            </w:r>
          </w:p>
        </w:tc>
      </w:tr>
      <w:tr w:rsidR="00DB08D7" w:rsidRPr="009D6EC8" w:rsidTr="00FD55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8183" w:type="dxa"/>
          </w:tcPr>
          <w:p w:rsidR="00DB08D7" w:rsidRPr="009A58AA" w:rsidRDefault="00DB08D7" w:rsidP="00546456">
            <w:pPr>
              <w:shd w:val="clear" w:color="auto" w:fill="FFFFFF"/>
              <w:spacing w:line="276" w:lineRule="auto"/>
              <w:contextualSpacing/>
              <w:rPr>
                <w:rFonts w:cs="Arial"/>
                <w:i/>
              </w:rPr>
            </w:pPr>
            <w:r>
              <w:rPr>
                <w:rFonts w:cs="Arial"/>
                <w:i/>
              </w:rPr>
              <w:t>3</w:t>
            </w:r>
            <w:r w:rsidRPr="009A58AA">
              <w:rPr>
                <w:rFonts w:cs="Arial"/>
                <w:i/>
              </w:rPr>
              <w:t xml:space="preserve">.  </w:t>
            </w:r>
            <w:r>
              <w:t>Document successful planning, design, install</w:t>
            </w:r>
            <w:r w:rsidR="00A37556">
              <w:t xml:space="preserve">ation and management strategies and case studies </w:t>
            </w:r>
            <w:r>
              <w:t xml:space="preserve">on BWSR’s </w:t>
            </w:r>
            <w:r w:rsidR="00546456">
              <w:t>“</w:t>
            </w:r>
            <w:r>
              <w:t>What’s Working</w:t>
            </w:r>
            <w:r w:rsidR="00546456">
              <w:t>”</w:t>
            </w:r>
            <w:r>
              <w:t xml:space="preserve"> </w:t>
            </w:r>
            <w:r w:rsidR="00546456">
              <w:t>w</w:t>
            </w:r>
            <w:r>
              <w:t>ebpage.</w:t>
            </w:r>
          </w:p>
        </w:tc>
        <w:tc>
          <w:tcPr>
            <w:tcW w:w="1897" w:type="dxa"/>
            <w:gridSpan w:val="2"/>
          </w:tcPr>
          <w:p w:rsidR="00DB08D7" w:rsidRPr="009D6EC8" w:rsidRDefault="00DB08D7" w:rsidP="00FD5525">
            <w:pPr>
              <w:rPr>
                <w:rFonts w:cs="Arial"/>
                <w:i/>
              </w:rPr>
            </w:pPr>
            <w:r>
              <w:rPr>
                <w:rFonts w:cs="Arial"/>
                <w:i/>
              </w:rPr>
              <w:t>June 2023</w:t>
            </w:r>
          </w:p>
        </w:tc>
      </w:tr>
    </w:tbl>
    <w:p w:rsidR="007A6730" w:rsidRDefault="007A6730" w:rsidP="005431D4">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2C7DE2" w:rsidRDefault="002C7DE2" w:rsidP="005431D4">
      <w:pPr>
        <w:tabs>
          <w:tab w:val="left" w:pos="540"/>
        </w:tabs>
        <w:autoSpaceDE w:val="0"/>
        <w:autoSpaceDN w:val="0"/>
        <w:adjustRightInd w:val="0"/>
        <w:rPr>
          <w:rFonts w:cs="Arial"/>
          <w:b/>
          <w:bCs/>
          <w:color w:val="000000"/>
        </w:rPr>
      </w:pPr>
      <w:r>
        <w:rPr>
          <w:rFonts w:cs="Arial"/>
          <w:b/>
          <w:bCs/>
          <w:color w:val="000000"/>
        </w:rPr>
        <w:t>Partners receiving ENRTF funding</w:t>
      </w:r>
    </w:p>
    <w:p w:rsidR="002C7DE2" w:rsidRPr="00AC42A5" w:rsidRDefault="00AA0B8B" w:rsidP="00AC42A5">
      <w:pPr>
        <w:pStyle w:val="ListParagraph"/>
        <w:numPr>
          <w:ilvl w:val="0"/>
          <w:numId w:val="18"/>
        </w:numPr>
        <w:tabs>
          <w:tab w:val="left" w:pos="540"/>
        </w:tabs>
        <w:autoSpaceDE w:val="0"/>
        <w:autoSpaceDN w:val="0"/>
        <w:adjustRightInd w:val="0"/>
        <w:rPr>
          <w:rFonts w:cs="Arial"/>
          <w:bCs/>
          <w:color w:val="000000"/>
        </w:rPr>
      </w:pPr>
      <w:r w:rsidRPr="00AC42A5">
        <w:rPr>
          <w:rFonts w:cs="Arial"/>
          <w:bCs/>
          <w:color w:val="000000"/>
        </w:rPr>
        <w:t>BWS</w:t>
      </w:r>
      <w:r w:rsidR="00DF7DEC" w:rsidRPr="00AC42A5">
        <w:rPr>
          <w:rFonts w:cs="Arial"/>
          <w:bCs/>
          <w:color w:val="000000"/>
        </w:rPr>
        <w:t xml:space="preserve">R </w:t>
      </w:r>
      <w:r w:rsidR="00DB08D7">
        <w:rPr>
          <w:rFonts w:cs="Arial"/>
          <w:bCs/>
          <w:color w:val="000000"/>
        </w:rPr>
        <w:t xml:space="preserve">(Grant </w:t>
      </w:r>
      <w:r w:rsidR="00DF7DEC" w:rsidRPr="00AC42A5">
        <w:rPr>
          <w:rFonts w:cs="Arial"/>
          <w:bCs/>
          <w:color w:val="000000"/>
        </w:rPr>
        <w:t>Coordinat</w:t>
      </w:r>
      <w:r w:rsidR="00DB08D7">
        <w:rPr>
          <w:rFonts w:cs="Arial"/>
          <w:bCs/>
          <w:color w:val="000000"/>
        </w:rPr>
        <w:t>ion)</w:t>
      </w:r>
      <w:r w:rsidR="00DF7DEC" w:rsidRPr="00AC42A5">
        <w:rPr>
          <w:rFonts w:cs="Arial"/>
          <w:bCs/>
          <w:color w:val="000000"/>
        </w:rPr>
        <w:t xml:space="preserve"> </w:t>
      </w:r>
      <w:r w:rsidR="00AC42A5">
        <w:rPr>
          <w:rFonts w:cs="Arial"/>
          <w:bCs/>
          <w:color w:val="000000"/>
        </w:rPr>
        <w:t>(</w:t>
      </w:r>
      <w:r w:rsidR="0036762E">
        <w:rPr>
          <w:rFonts w:cs="Arial"/>
          <w:bCs/>
          <w:color w:val="000000"/>
        </w:rPr>
        <w:t>1</w:t>
      </w:r>
      <w:r w:rsidR="002E1AAA">
        <w:rPr>
          <w:rFonts w:cs="Arial"/>
          <w:bCs/>
          <w:color w:val="000000"/>
        </w:rPr>
        <w:t>4% FTE</w:t>
      </w:r>
      <w:r w:rsidR="005944C6">
        <w:rPr>
          <w:rFonts w:cs="Arial"/>
          <w:bCs/>
          <w:color w:val="000000"/>
        </w:rPr>
        <w:t>)</w:t>
      </w:r>
    </w:p>
    <w:p w:rsidR="00AA0B8B" w:rsidRDefault="00DB08D7" w:rsidP="00AC42A5">
      <w:pPr>
        <w:pStyle w:val="ListParagraph"/>
        <w:numPr>
          <w:ilvl w:val="0"/>
          <w:numId w:val="18"/>
        </w:numPr>
        <w:tabs>
          <w:tab w:val="left" w:pos="540"/>
        </w:tabs>
        <w:autoSpaceDE w:val="0"/>
        <w:autoSpaceDN w:val="0"/>
        <w:adjustRightInd w:val="0"/>
        <w:rPr>
          <w:rFonts w:cs="Arial"/>
          <w:bCs/>
          <w:color w:val="000000"/>
        </w:rPr>
      </w:pPr>
      <w:r>
        <w:rPr>
          <w:rFonts w:cs="Arial"/>
          <w:bCs/>
          <w:color w:val="000000"/>
        </w:rPr>
        <w:t>Xerces Society (Plant template development and workshop assistance)</w:t>
      </w:r>
    </w:p>
    <w:p w:rsidR="00DB08D7" w:rsidRDefault="00DB08D7" w:rsidP="00DB08D7">
      <w:pPr>
        <w:tabs>
          <w:tab w:val="left" w:pos="540"/>
        </w:tabs>
        <w:autoSpaceDE w:val="0"/>
        <w:autoSpaceDN w:val="0"/>
        <w:adjustRightInd w:val="0"/>
        <w:rPr>
          <w:rFonts w:cs="Arial"/>
          <w:bCs/>
          <w:color w:val="000000"/>
        </w:rPr>
      </w:pPr>
    </w:p>
    <w:p w:rsidR="002C7DE2" w:rsidRDefault="002C7DE2" w:rsidP="005431D4">
      <w:pPr>
        <w:tabs>
          <w:tab w:val="left" w:pos="540"/>
        </w:tabs>
        <w:autoSpaceDE w:val="0"/>
        <w:autoSpaceDN w:val="0"/>
        <w:adjustRightInd w:val="0"/>
        <w:rPr>
          <w:rFonts w:cs="Arial"/>
          <w:b/>
          <w:bCs/>
          <w:color w:val="000000"/>
        </w:rPr>
      </w:pPr>
      <w:r>
        <w:rPr>
          <w:rFonts w:cs="Arial"/>
          <w:b/>
          <w:bCs/>
          <w:color w:val="000000"/>
        </w:rPr>
        <w:t>Partners not receiving ENRTF funding</w:t>
      </w:r>
    </w:p>
    <w:p w:rsidR="00DB08D7" w:rsidRDefault="00DB08D7" w:rsidP="00DB08D7">
      <w:pPr>
        <w:pStyle w:val="ListParagraph"/>
        <w:numPr>
          <w:ilvl w:val="0"/>
          <w:numId w:val="19"/>
        </w:numPr>
      </w:pPr>
      <w:r>
        <w:t xml:space="preserve">Redwood SWCD, Minnesota Association of Soil and Water Conservation Districts. </w:t>
      </w:r>
    </w:p>
    <w:p w:rsidR="00DB08D7" w:rsidRDefault="00DB08D7" w:rsidP="00DB08D7">
      <w:pPr>
        <w:pStyle w:val="ListParagraph"/>
        <w:numPr>
          <w:ilvl w:val="0"/>
          <w:numId w:val="19"/>
        </w:numPr>
      </w:pPr>
      <w:r>
        <w:t>Advisory Team Members: BWSR’s Senior Ecologist, SWCD Conservation Specialist</w:t>
      </w:r>
      <w:r w:rsidR="00A37556">
        <w:t>s</w:t>
      </w:r>
      <w:r>
        <w:t>, BWSR Easement Program Staff, State Pollinator Coordinator, DNR’s Invertebrate Ecologist, Xerces Habitat Specialists</w:t>
      </w:r>
      <w:r w:rsidR="00DA6C6F">
        <w:t xml:space="preserve"> and TNC, USFWS and Pheasants Forever staff.</w:t>
      </w:r>
    </w:p>
    <w:p w:rsidR="00DB08D7" w:rsidRDefault="00DB08D7" w:rsidP="006A2AD8">
      <w:pPr>
        <w:pStyle w:val="ListParagraph"/>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4A50CB" w:rsidRDefault="004A50CB" w:rsidP="00186FCC">
      <w:pPr>
        <w:tabs>
          <w:tab w:val="left" w:pos="7185"/>
        </w:tabs>
      </w:pPr>
      <w:r>
        <w:t xml:space="preserve">This proposal enhances existing investments in long-term conservation as part of a solution to the decline of at-risk species and other important insects. The project will develop and implement plans that will guide the long-term management </w:t>
      </w:r>
      <w:r w:rsidR="00DA6C6F">
        <w:t xml:space="preserve">and monitoring </w:t>
      </w:r>
      <w:r>
        <w:t>of protected lands. Once the new BWSR program is established BWSR will pursue other funding sources for the program such federa</w:t>
      </w:r>
      <w:r w:rsidR="00DA6C6F">
        <w:t>l grants and foundation funding.</w:t>
      </w:r>
    </w:p>
    <w:p w:rsidR="00A46502" w:rsidRPr="004A50CB" w:rsidRDefault="00A46502" w:rsidP="00186FCC">
      <w:pPr>
        <w:tabs>
          <w:tab w:val="left" w:pos="7185"/>
        </w:tabs>
      </w:pP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sidRPr="00A46502">
        <w:rPr>
          <w:rFonts w:cs="Arial"/>
          <w:b/>
          <w:iCs/>
          <w:color w:val="000000"/>
        </w:rPr>
        <w:t>Proposal Budget Spreadsheet</w:t>
      </w:r>
      <w:r w:rsidRPr="000A26B2">
        <w:rPr>
          <w:rFonts w:cs="Arial"/>
          <w:b/>
          <w:iCs/>
          <w:color w:val="000000"/>
        </w:rPr>
        <w:t xml:space="preserve">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B. </w:t>
      </w:r>
      <w:r w:rsidR="00A46502">
        <w:rPr>
          <w:rFonts w:cs="Arial"/>
          <w:b/>
          <w:iCs/>
          <w:color w:val="000000"/>
        </w:rPr>
        <w:t>Pollinator-Beneficial Insect Graphic</w:t>
      </w:r>
      <w:r w:rsidRPr="004378CF">
        <w:rPr>
          <w:rFonts w:cs="Arial"/>
          <w:b/>
          <w:iCs/>
          <w:color w:val="000000"/>
          <w:u w:val="single"/>
        </w:rPr>
        <w:t xml:space="preserve"> </w:t>
      </w:r>
    </w:p>
    <w:p w:rsidR="00A46502" w:rsidRDefault="00AD3337" w:rsidP="004A50CB">
      <w:pPr>
        <w:tabs>
          <w:tab w:val="left" w:pos="540"/>
        </w:tabs>
        <w:autoSpaceDE w:val="0"/>
        <w:autoSpaceDN w:val="0"/>
        <w:adjustRightInd w:val="0"/>
        <w:ind w:left="540"/>
        <w:rPr>
          <w:rFonts w:cs="Arial"/>
          <w:b/>
          <w:iCs/>
          <w:color w:val="000000"/>
        </w:rPr>
      </w:pPr>
      <w:r w:rsidRPr="003C0F90">
        <w:rPr>
          <w:rFonts w:cs="Arial"/>
          <w:b/>
          <w:iCs/>
          <w:color w:val="000000"/>
        </w:rPr>
        <w:t xml:space="preserve">D. </w:t>
      </w:r>
      <w:r w:rsidR="00A46502">
        <w:rPr>
          <w:rFonts w:cs="Arial"/>
          <w:b/>
          <w:iCs/>
          <w:color w:val="000000"/>
        </w:rPr>
        <w:t xml:space="preserve">ENRTF Project Requirements for Restoration </w:t>
      </w:r>
    </w:p>
    <w:p w:rsidR="006E0EFD" w:rsidRPr="00A46502" w:rsidRDefault="00A46502" w:rsidP="004A50CB">
      <w:pPr>
        <w:tabs>
          <w:tab w:val="left" w:pos="540"/>
        </w:tabs>
        <w:autoSpaceDE w:val="0"/>
        <w:autoSpaceDN w:val="0"/>
        <w:adjustRightInd w:val="0"/>
        <w:ind w:left="540"/>
        <w:rPr>
          <w:rFonts w:cs="Arial"/>
        </w:rPr>
      </w:pPr>
      <w:r>
        <w:rPr>
          <w:rFonts w:cs="Arial"/>
          <w:b/>
          <w:iCs/>
          <w:color w:val="000000"/>
        </w:rPr>
        <w:t>E</w:t>
      </w:r>
      <w:r w:rsidR="00F9232B">
        <w:rPr>
          <w:rFonts w:cs="Arial"/>
          <w:b/>
          <w:iCs/>
          <w:color w:val="000000"/>
        </w:rPr>
        <w:t xml:space="preserve">. </w:t>
      </w:r>
      <w:r w:rsidR="00F9232B" w:rsidRPr="00A46502">
        <w:rPr>
          <w:rFonts w:cs="Arial"/>
          <w:b/>
          <w:iCs/>
          <w:color w:val="000000"/>
        </w:rPr>
        <w:t>Project Manager Qualifications and Organization Description</w:t>
      </w:r>
      <w:bookmarkStart w:id="0" w:name="_GoBack"/>
      <w:bookmarkEnd w:id="0"/>
    </w:p>
    <w:sectPr w:rsidR="006E0EFD" w:rsidRPr="00A46502"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5D7" w:rsidRDefault="007B25D7" w:rsidP="00533120">
      <w:r>
        <w:separator/>
      </w:r>
    </w:p>
  </w:endnote>
  <w:endnote w:type="continuationSeparator" w:id="0">
    <w:p w:rsidR="007B25D7" w:rsidRDefault="007B25D7"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8" w:rsidRDefault="00461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8" w:rsidRDefault="00461338">
    <w:pPr>
      <w:pStyle w:val="Footer"/>
      <w:jc w:val="center"/>
    </w:pPr>
    <w:r>
      <w:fldChar w:fldCharType="begin"/>
    </w:r>
    <w:r>
      <w:instrText xml:space="preserve"> PAGE   \* MERGEFORMAT </w:instrText>
    </w:r>
    <w:r>
      <w:fldChar w:fldCharType="separate"/>
    </w:r>
    <w:r w:rsidR="00A16705">
      <w:rPr>
        <w:noProof/>
      </w:rPr>
      <w:t>2</w:t>
    </w:r>
    <w:r>
      <w:fldChar w:fldCharType="end"/>
    </w:r>
  </w:p>
  <w:p w:rsidR="00461338" w:rsidRDefault="004613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8" w:rsidRDefault="00461338" w:rsidP="00C72BD9">
    <w:pPr>
      <w:pStyle w:val="Footer"/>
      <w:jc w:val="center"/>
    </w:pPr>
    <w:r>
      <w:fldChar w:fldCharType="begin"/>
    </w:r>
    <w:r>
      <w:instrText xml:space="preserve"> PAGE   \* MERGEFORMAT </w:instrText>
    </w:r>
    <w:r>
      <w:fldChar w:fldCharType="separate"/>
    </w:r>
    <w:r>
      <w:rPr>
        <w:noProof/>
      </w:rPr>
      <w:t>1</w:t>
    </w:r>
    <w:r>
      <w:fldChar w:fldCharType="end"/>
    </w:r>
  </w:p>
  <w:p w:rsidR="00461338" w:rsidRDefault="00461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5D7" w:rsidRDefault="007B25D7" w:rsidP="00533120">
      <w:r>
        <w:separator/>
      </w:r>
    </w:p>
  </w:footnote>
  <w:footnote w:type="continuationSeparator" w:id="0">
    <w:p w:rsidR="007B25D7" w:rsidRDefault="007B25D7"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8" w:rsidRDefault="004613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461338" w:rsidTr="00E47145">
      <w:tc>
        <w:tcPr>
          <w:tcW w:w="1278" w:type="dxa"/>
        </w:tcPr>
        <w:p w:rsidR="00461338" w:rsidRPr="00EB5831" w:rsidRDefault="00461338"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461338" w:rsidRPr="00A42E60" w:rsidRDefault="00461338" w:rsidP="00EB5831">
          <w:pPr>
            <w:rPr>
              <w:b/>
            </w:rPr>
          </w:pPr>
          <w:r w:rsidRPr="00A42E60">
            <w:rPr>
              <w:b/>
            </w:rPr>
            <w:t>Environment and Natural Resources Trust Fund (ENRTF)</w:t>
          </w:r>
        </w:p>
        <w:p w:rsidR="00461338" w:rsidRPr="00EB5831" w:rsidRDefault="00461338"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rsidR="00461338" w:rsidRPr="00EB5831" w:rsidRDefault="00461338" w:rsidP="00EB5831">
          <w:pPr>
            <w:pStyle w:val="Header"/>
            <w:rPr>
              <w:lang w:val="en-US" w:eastAsia="en-US"/>
            </w:rPr>
          </w:pPr>
        </w:p>
      </w:tc>
    </w:tr>
  </w:tbl>
  <w:p w:rsidR="00461338" w:rsidRPr="00A42E60" w:rsidRDefault="00461338"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461338" w:rsidTr="00C660F0">
      <w:tc>
        <w:tcPr>
          <w:tcW w:w="1098" w:type="dxa"/>
        </w:tcPr>
        <w:p w:rsidR="00461338" w:rsidRPr="00EB5831" w:rsidRDefault="00461338"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461338" w:rsidRPr="00A42E60" w:rsidRDefault="00461338" w:rsidP="00C660F0">
          <w:pPr>
            <w:rPr>
              <w:b/>
            </w:rPr>
          </w:pPr>
          <w:r w:rsidRPr="00A42E60">
            <w:rPr>
              <w:b/>
            </w:rPr>
            <w:t>Environment and Natural Resources Trust Fund (ENRTF)</w:t>
          </w:r>
        </w:p>
        <w:p w:rsidR="00461338" w:rsidRPr="00EB5831" w:rsidRDefault="00461338" w:rsidP="00806460">
          <w:pPr>
            <w:pStyle w:val="Header"/>
            <w:rPr>
              <w:b/>
              <w:lang w:val="en-US" w:eastAsia="en-US"/>
            </w:rPr>
          </w:pPr>
          <w:r w:rsidRPr="00EB5831">
            <w:rPr>
              <w:b/>
              <w:lang w:val="en-US" w:eastAsia="en-US"/>
            </w:rPr>
            <w:t>2014 Main Proposal</w:t>
          </w:r>
        </w:p>
        <w:p w:rsidR="00461338" w:rsidRPr="00EB5831" w:rsidRDefault="00461338"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461338" w:rsidRPr="00F96203" w:rsidRDefault="0046133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3C7B"/>
    <w:multiLevelType w:val="hybridMultilevel"/>
    <w:tmpl w:val="0B10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285"/>
    <w:multiLevelType w:val="hybridMultilevel"/>
    <w:tmpl w:val="3C1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2FD53308"/>
    <w:multiLevelType w:val="hybridMultilevel"/>
    <w:tmpl w:val="D48CB01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3767349"/>
    <w:multiLevelType w:val="hybridMultilevel"/>
    <w:tmpl w:val="164A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704EF"/>
    <w:multiLevelType w:val="hybridMultilevel"/>
    <w:tmpl w:val="0D0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33F7C"/>
    <w:multiLevelType w:val="hybridMultilevel"/>
    <w:tmpl w:val="78D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42FF2"/>
    <w:multiLevelType w:val="hybridMultilevel"/>
    <w:tmpl w:val="20B4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8" w15:restartNumberingAfterBreak="0">
    <w:nsid w:val="6B196FB2"/>
    <w:multiLevelType w:val="hybridMultilevel"/>
    <w:tmpl w:val="8CBC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7"/>
  </w:num>
  <w:num w:numId="5">
    <w:abstractNumId w:val="17"/>
  </w:num>
  <w:num w:numId="6">
    <w:abstractNumId w:val="2"/>
  </w:num>
  <w:num w:numId="7">
    <w:abstractNumId w:val="9"/>
  </w:num>
  <w:num w:numId="8">
    <w:abstractNumId w:val="5"/>
  </w:num>
  <w:num w:numId="9">
    <w:abstractNumId w:val="16"/>
  </w:num>
  <w:num w:numId="10">
    <w:abstractNumId w:val="11"/>
  </w:num>
  <w:num w:numId="11">
    <w:abstractNumId w:val="1"/>
  </w:num>
  <w:num w:numId="12">
    <w:abstractNumId w:val="14"/>
  </w:num>
  <w:num w:numId="13">
    <w:abstractNumId w:val="3"/>
  </w:num>
  <w:num w:numId="14">
    <w:abstractNumId w:val="12"/>
  </w:num>
  <w:num w:numId="15">
    <w:abstractNumId w:val="15"/>
  </w:num>
  <w:num w:numId="16">
    <w:abstractNumId w:val="18"/>
  </w:num>
  <w:num w:numId="17">
    <w:abstractNumId w:val="8"/>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73C9"/>
    <w:rsid w:val="00061EF5"/>
    <w:rsid w:val="00062497"/>
    <w:rsid w:val="00065366"/>
    <w:rsid w:val="00073C96"/>
    <w:rsid w:val="00090AFD"/>
    <w:rsid w:val="000B34BA"/>
    <w:rsid w:val="000C3683"/>
    <w:rsid w:val="000C3EF3"/>
    <w:rsid w:val="000D7F31"/>
    <w:rsid w:val="00100A34"/>
    <w:rsid w:val="00107495"/>
    <w:rsid w:val="001225BC"/>
    <w:rsid w:val="00154F45"/>
    <w:rsid w:val="00165716"/>
    <w:rsid w:val="0017149C"/>
    <w:rsid w:val="0018005E"/>
    <w:rsid w:val="00185D02"/>
    <w:rsid w:val="00186FCC"/>
    <w:rsid w:val="001B0368"/>
    <w:rsid w:val="001E42AC"/>
    <w:rsid w:val="002159DD"/>
    <w:rsid w:val="00217C2A"/>
    <w:rsid w:val="00290E4E"/>
    <w:rsid w:val="0029726A"/>
    <w:rsid w:val="002B1CD7"/>
    <w:rsid w:val="002B469A"/>
    <w:rsid w:val="002C4052"/>
    <w:rsid w:val="002C7DE2"/>
    <w:rsid w:val="002E1AAA"/>
    <w:rsid w:val="003205A7"/>
    <w:rsid w:val="003239FE"/>
    <w:rsid w:val="00347E7A"/>
    <w:rsid w:val="00351EA6"/>
    <w:rsid w:val="00354888"/>
    <w:rsid w:val="003578A0"/>
    <w:rsid w:val="0036762E"/>
    <w:rsid w:val="0037310D"/>
    <w:rsid w:val="0039481E"/>
    <w:rsid w:val="003F32CA"/>
    <w:rsid w:val="00404B9C"/>
    <w:rsid w:val="0040658E"/>
    <w:rsid w:val="00427FA0"/>
    <w:rsid w:val="004357AE"/>
    <w:rsid w:val="004378CF"/>
    <w:rsid w:val="004530F7"/>
    <w:rsid w:val="00454495"/>
    <w:rsid w:val="00461338"/>
    <w:rsid w:val="00470C08"/>
    <w:rsid w:val="004828DF"/>
    <w:rsid w:val="00487D08"/>
    <w:rsid w:val="0049103C"/>
    <w:rsid w:val="004A43B9"/>
    <w:rsid w:val="004A4BE4"/>
    <w:rsid w:val="004A50CB"/>
    <w:rsid w:val="004E6113"/>
    <w:rsid w:val="00533120"/>
    <w:rsid w:val="005431D4"/>
    <w:rsid w:val="00546456"/>
    <w:rsid w:val="00550B29"/>
    <w:rsid w:val="00554A09"/>
    <w:rsid w:val="00555E18"/>
    <w:rsid w:val="005648A9"/>
    <w:rsid w:val="005723E3"/>
    <w:rsid w:val="00585E54"/>
    <w:rsid w:val="005944C6"/>
    <w:rsid w:val="005A1D00"/>
    <w:rsid w:val="005A4FB1"/>
    <w:rsid w:val="005F0DBA"/>
    <w:rsid w:val="005F1006"/>
    <w:rsid w:val="005F7237"/>
    <w:rsid w:val="00602068"/>
    <w:rsid w:val="006065F6"/>
    <w:rsid w:val="00614DF2"/>
    <w:rsid w:val="00640A9A"/>
    <w:rsid w:val="006435A6"/>
    <w:rsid w:val="006447C4"/>
    <w:rsid w:val="006562F0"/>
    <w:rsid w:val="00686B53"/>
    <w:rsid w:val="006A2AD8"/>
    <w:rsid w:val="006B20FC"/>
    <w:rsid w:val="006C3872"/>
    <w:rsid w:val="006E0EFD"/>
    <w:rsid w:val="006F7F24"/>
    <w:rsid w:val="00701820"/>
    <w:rsid w:val="00721661"/>
    <w:rsid w:val="00731A65"/>
    <w:rsid w:val="00750940"/>
    <w:rsid w:val="007733CF"/>
    <w:rsid w:val="007936A9"/>
    <w:rsid w:val="007A6730"/>
    <w:rsid w:val="007B25D7"/>
    <w:rsid w:val="007B284F"/>
    <w:rsid w:val="007B3535"/>
    <w:rsid w:val="007C5BDA"/>
    <w:rsid w:val="007E46C8"/>
    <w:rsid w:val="0080120D"/>
    <w:rsid w:val="00806460"/>
    <w:rsid w:val="008076FB"/>
    <w:rsid w:val="00821B37"/>
    <w:rsid w:val="00843C7D"/>
    <w:rsid w:val="008523FB"/>
    <w:rsid w:val="008949EE"/>
    <w:rsid w:val="008A088E"/>
    <w:rsid w:val="008A4498"/>
    <w:rsid w:val="008A5FD9"/>
    <w:rsid w:val="008D2242"/>
    <w:rsid w:val="00900EE0"/>
    <w:rsid w:val="00910DB8"/>
    <w:rsid w:val="00912C65"/>
    <w:rsid w:val="009541C4"/>
    <w:rsid w:val="0096149D"/>
    <w:rsid w:val="009A49DE"/>
    <w:rsid w:val="009B6749"/>
    <w:rsid w:val="009C4875"/>
    <w:rsid w:val="009D0E57"/>
    <w:rsid w:val="009D14B4"/>
    <w:rsid w:val="009D6EC8"/>
    <w:rsid w:val="009E7F60"/>
    <w:rsid w:val="00A03E0A"/>
    <w:rsid w:val="00A13F26"/>
    <w:rsid w:val="00A16705"/>
    <w:rsid w:val="00A37556"/>
    <w:rsid w:val="00A42E60"/>
    <w:rsid w:val="00A45A41"/>
    <w:rsid w:val="00A46502"/>
    <w:rsid w:val="00A7257F"/>
    <w:rsid w:val="00A729C8"/>
    <w:rsid w:val="00A73B75"/>
    <w:rsid w:val="00AA0B8B"/>
    <w:rsid w:val="00AB22BD"/>
    <w:rsid w:val="00AB6CFF"/>
    <w:rsid w:val="00AC2C07"/>
    <w:rsid w:val="00AC2CDE"/>
    <w:rsid w:val="00AC42A5"/>
    <w:rsid w:val="00AD3337"/>
    <w:rsid w:val="00B728BF"/>
    <w:rsid w:val="00B8369A"/>
    <w:rsid w:val="00B86A22"/>
    <w:rsid w:val="00BC28A6"/>
    <w:rsid w:val="00BE1778"/>
    <w:rsid w:val="00C02DAD"/>
    <w:rsid w:val="00C31FA1"/>
    <w:rsid w:val="00C660F0"/>
    <w:rsid w:val="00C72BD9"/>
    <w:rsid w:val="00C82CD3"/>
    <w:rsid w:val="00C85E92"/>
    <w:rsid w:val="00C952E4"/>
    <w:rsid w:val="00CB652D"/>
    <w:rsid w:val="00CE20AC"/>
    <w:rsid w:val="00CE5E23"/>
    <w:rsid w:val="00CF48EB"/>
    <w:rsid w:val="00D02E23"/>
    <w:rsid w:val="00D121DD"/>
    <w:rsid w:val="00D25619"/>
    <w:rsid w:val="00D32CFB"/>
    <w:rsid w:val="00D41B23"/>
    <w:rsid w:val="00D65022"/>
    <w:rsid w:val="00DA453B"/>
    <w:rsid w:val="00DA6C6F"/>
    <w:rsid w:val="00DB08D7"/>
    <w:rsid w:val="00DF7DEC"/>
    <w:rsid w:val="00E47145"/>
    <w:rsid w:val="00E5279E"/>
    <w:rsid w:val="00E619C4"/>
    <w:rsid w:val="00E76D57"/>
    <w:rsid w:val="00EB5831"/>
    <w:rsid w:val="00ED0AD5"/>
    <w:rsid w:val="00F21E71"/>
    <w:rsid w:val="00F42507"/>
    <w:rsid w:val="00F434E3"/>
    <w:rsid w:val="00F70DE4"/>
    <w:rsid w:val="00F9232B"/>
    <w:rsid w:val="00F92864"/>
    <w:rsid w:val="00F96203"/>
    <w:rsid w:val="00F97C94"/>
    <w:rsid w:val="00FD2853"/>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40658E"/>
    <w:rPr>
      <w:sz w:val="16"/>
      <w:szCs w:val="16"/>
    </w:rPr>
  </w:style>
  <w:style w:type="paragraph" w:styleId="CommentText">
    <w:name w:val="annotation text"/>
    <w:basedOn w:val="Normal"/>
    <w:link w:val="CommentTextChar"/>
    <w:uiPriority w:val="99"/>
    <w:semiHidden/>
    <w:unhideWhenUsed/>
    <w:rsid w:val="0040658E"/>
    <w:pPr>
      <w:spacing w:after="200"/>
    </w:pPr>
    <w:rPr>
      <w:rFonts w:cs="Calibri"/>
      <w:sz w:val="20"/>
      <w:szCs w:val="20"/>
    </w:rPr>
  </w:style>
  <w:style w:type="character" w:customStyle="1" w:styleId="CommentTextChar">
    <w:name w:val="Comment Text Char"/>
    <w:basedOn w:val="DefaultParagraphFont"/>
    <w:link w:val="CommentText"/>
    <w:uiPriority w:val="99"/>
    <w:semiHidden/>
    <w:rsid w:val="0040658E"/>
    <w:rPr>
      <w:rFonts w:cs="Calibri"/>
    </w:rPr>
  </w:style>
  <w:style w:type="paragraph" w:styleId="NoSpacing">
    <w:name w:val="No Spacing"/>
    <w:uiPriority w:val="1"/>
    <w:qFormat/>
    <w:rsid w:val="008523F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148668456">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Shaw, Dan B (BWSR)</cp:lastModifiedBy>
  <cp:revision>10</cp:revision>
  <cp:lastPrinted>2019-03-15T14:22:00Z</cp:lastPrinted>
  <dcterms:created xsi:type="dcterms:W3CDTF">2019-04-11T13:38:00Z</dcterms:created>
  <dcterms:modified xsi:type="dcterms:W3CDTF">2019-04-12T18:25:00Z</dcterms:modified>
</cp:coreProperties>
</file>