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FB1" w:rsidRDefault="005A4FB1" w:rsidP="005A4FB1">
      <w:pPr>
        <w:jc w:val="center"/>
        <w:rPr>
          <w:rFonts w:cs="Arial"/>
          <w:i/>
        </w:rPr>
      </w:pPr>
    </w:p>
    <w:p w:rsidR="002E7774" w:rsidRDefault="002E7774" w:rsidP="008269AA">
      <w:pPr>
        <w:rPr>
          <w:rFonts w:cs="Arial"/>
          <w:b/>
        </w:rPr>
      </w:pPr>
    </w:p>
    <w:p w:rsidR="008269AA" w:rsidRPr="005A4FB1" w:rsidRDefault="008269AA" w:rsidP="008269AA">
      <w:pPr>
        <w:rPr>
          <w:rFonts w:cs="Arial"/>
          <w:i/>
        </w:rPr>
      </w:pPr>
      <w:r w:rsidRPr="009D6EC8">
        <w:rPr>
          <w:rFonts w:cs="Arial"/>
          <w:b/>
        </w:rPr>
        <w:t>PROJECT TITLE:</w:t>
      </w:r>
      <w:r>
        <w:rPr>
          <w:rFonts w:cs="Arial"/>
          <w:b/>
        </w:rPr>
        <w:t xml:space="preserve"> </w:t>
      </w:r>
      <w:r w:rsidR="007C085C" w:rsidRPr="007C085C">
        <w:rPr>
          <w:rFonts w:cs="Arial"/>
          <w:b/>
        </w:rPr>
        <w:t>Pollinator Central: Habitat improvement with citizen monitoring from Hastings to St. Cloud</w:t>
      </w:r>
      <w:r w:rsidR="0099581F">
        <w:rPr>
          <w:rFonts w:cs="Arial"/>
          <w:b/>
        </w:rPr>
        <w:t>.</w:t>
      </w:r>
    </w:p>
    <w:p w:rsidR="008269AA" w:rsidRPr="009D6EC8" w:rsidRDefault="008269AA" w:rsidP="008269AA">
      <w:pPr>
        <w:rPr>
          <w:rFonts w:cs="Arial"/>
        </w:rPr>
      </w:pPr>
    </w:p>
    <w:p w:rsidR="008269AA" w:rsidRPr="009D6EC8" w:rsidRDefault="008269AA" w:rsidP="008269AA">
      <w:pPr>
        <w:rPr>
          <w:rFonts w:cs="Arial"/>
        </w:rPr>
      </w:pPr>
      <w:r w:rsidRPr="009D6EC8">
        <w:rPr>
          <w:rFonts w:cs="Arial"/>
          <w:b/>
        </w:rPr>
        <w:t>I. PROJECT STATEMENT</w:t>
      </w:r>
    </w:p>
    <w:p w:rsidR="00BA242D" w:rsidRDefault="00BA242D" w:rsidP="00BA242D">
      <w:pPr>
        <w:pStyle w:val="xmsonormal"/>
        <w:spacing w:after="160" w:line="252" w:lineRule="auto"/>
      </w:pPr>
      <w:r>
        <w:rPr>
          <w:rFonts w:ascii="Calibri" w:hAnsi="Calibri"/>
          <w:sz w:val="22"/>
          <w:szCs w:val="22"/>
        </w:rPr>
        <w:t>We will r</w:t>
      </w:r>
      <w:r>
        <w:rPr>
          <w:rFonts w:ascii="Calibri" w:hAnsi="Calibri"/>
          <w:sz w:val="22"/>
          <w:szCs w:val="22"/>
        </w:rPr>
        <w:t xml:space="preserve">estore and enhance </w:t>
      </w:r>
      <w:r w:rsidR="00012039">
        <w:rPr>
          <w:rFonts w:ascii="Calibri" w:hAnsi="Calibri"/>
          <w:sz w:val="22"/>
          <w:szCs w:val="22"/>
        </w:rPr>
        <w:t>500</w:t>
      </w:r>
      <w:r>
        <w:rPr>
          <w:rFonts w:ascii="Calibri" w:hAnsi="Calibri"/>
          <w:sz w:val="22"/>
          <w:szCs w:val="22"/>
        </w:rPr>
        <w:t xml:space="preserve"> acres of pollinator habitat on </w:t>
      </w:r>
      <w:r>
        <w:rPr>
          <w:rFonts w:ascii="Calibri" w:hAnsi="Calibri"/>
          <w:sz w:val="22"/>
          <w:szCs w:val="22"/>
        </w:rPr>
        <w:t>20</w:t>
      </w:r>
      <w:r>
        <w:rPr>
          <w:rFonts w:ascii="Calibri" w:hAnsi="Calibri"/>
          <w:sz w:val="22"/>
          <w:szCs w:val="22"/>
        </w:rPr>
        <w:t xml:space="preserve"> traditional and nontraditional sites, from Hastings to St. Cloud, to benefit pollinators and build knowledge of impact through citizen monitoring.</w:t>
      </w:r>
    </w:p>
    <w:p w:rsidR="008269AA" w:rsidRDefault="008269AA" w:rsidP="00BA242D">
      <w:r>
        <w:t>Following recommendations from the Governor's Committee on Pollinator Protection and other habitat assessment guides, we will restore</w:t>
      </w:r>
      <w:r w:rsidR="00334BF6">
        <w:t xml:space="preserve"> </w:t>
      </w:r>
      <w:r>
        <w:t xml:space="preserve">habitats </w:t>
      </w:r>
      <w:r w:rsidR="00334BF6">
        <w:t xml:space="preserve">in </w:t>
      </w:r>
      <w:r w:rsidR="00334BF6">
        <w:t xml:space="preserve">urban, suburban, and rural </w:t>
      </w:r>
      <w:r w:rsidR="00334BF6">
        <w:t xml:space="preserve">landscapes </w:t>
      </w:r>
      <w:r>
        <w:t>to support a 'hopscotch' corridor for pollinators, as well as improve core habitat areas. Turf con</w:t>
      </w:r>
      <w:r w:rsidR="00134080">
        <w:t xml:space="preserve">version and small, high quality </w:t>
      </w:r>
      <w:r>
        <w:t>patches will join grassland, edge, wetland, shoreline, and limited amounts of forest and woodland all</w:t>
      </w:r>
      <w:r w:rsidR="00134080">
        <w:t xml:space="preserve"> within flight distance of year-</w:t>
      </w:r>
      <w:r>
        <w:t>round habitat. Th</w:t>
      </w:r>
      <w:r w:rsidR="00134080">
        <w:t>ese</w:t>
      </w:r>
      <w:r>
        <w:t xml:space="preserve"> </w:t>
      </w:r>
      <w:r w:rsidR="00134080">
        <w:t>improvements</w:t>
      </w:r>
      <w:r>
        <w:t xml:space="preserve"> will increase floral resources and improve nesting and over-wintering habitat for pollinators. </w:t>
      </w:r>
      <w:r w:rsidR="005C3BD9">
        <w:t>A total of 400 habitat volunteers will be engaged in field activities.</w:t>
      </w:r>
      <w:r>
        <w:t xml:space="preserve"> </w:t>
      </w:r>
    </w:p>
    <w:p w:rsidR="008269AA" w:rsidRDefault="008269AA" w:rsidP="008269AA"/>
    <w:p w:rsidR="008269AA" w:rsidRDefault="008269AA" w:rsidP="008269AA">
      <w:r>
        <w:t xml:space="preserve">Site selection will follow ranking by the Habitat Assessment Guide for Rusty Patched Bumble Bee (Xerces) </w:t>
      </w:r>
      <w:r w:rsidR="00F02DE9">
        <w:t>and other guides, field surveys and expert review. Emphasis will be placed on a</w:t>
      </w:r>
      <w:r>
        <w:t xml:space="preserve">djacency within a landscape mosaic </w:t>
      </w:r>
      <w:r w:rsidR="00F02DE9">
        <w:t>to</w:t>
      </w:r>
      <w:r>
        <w:t xml:space="preserve"> provide forage habitat throughout the year</w:t>
      </w:r>
      <w:r w:rsidR="00F02DE9">
        <w:t>, as determined by using</w:t>
      </w:r>
      <w:r w:rsidR="00BA242D">
        <w:t xml:space="preserve"> state-of-the-</w:t>
      </w:r>
      <w:r>
        <w:t xml:space="preserve">art pollinator habitat ‘core-and-patches’ adjacency mapping analysis. Restoration and enhancement activities will be guided by ecological plans, and implemented by a variety of labor forces including subcontractors, field crews, landowner in-kind, and volunteers. </w:t>
      </w:r>
    </w:p>
    <w:p w:rsidR="008269AA" w:rsidRDefault="008269AA" w:rsidP="008269AA"/>
    <w:p w:rsidR="008269AA" w:rsidRPr="009D6EC8" w:rsidRDefault="008269AA" w:rsidP="008269AA">
      <w:pPr>
        <w:rPr>
          <w:rFonts w:cs="Arial"/>
        </w:rPr>
      </w:pPr>
      <w:r>
        <w:t>In addition, we</w:t>
      </w:r>
      <w:r>
        <w:rPr>
          <w:rStyle w:val="normaltextrun"/>
          <w:color w:val="000000"/>
          <w:bdr w:val="none" w:sz="0" w:space="0" w:color="auto" w:frame="1"/>
        </w:rPr>
        <w:t xml:space="preserve"> will </w:t>
      </w:r>
      <w:r w:rsidR="0027526B">
        <w:rPr>
          <w:rStyle w:val="normaltextrun"/>
          <w:color w:val="000000"/>
          <w:bdr w:val="none" w:sz="0" w:space="0" w:color="auto" w:frame="1"/>
        </w:rPr>
        <w:t xml:space="preserve">monitor every site through </w:t>
      </w:r>
      <w:r>
        <w:rPr>
          <w:rStyle w:val="normaltextrun"/>
          <w:color w:val="000000"/>
          <w:bdr w:val="none" w:sz="0" w:space="0" w:color="auto" w:frame="1"/>
        </w:rPr>
        <w:t>a number of direct pollinator monitoring techniques</w:t>
      </w:r>
      <w:r w:rsidR="005C3BD9">
        <w:rPr>
          <w:rStyle w:val="normaltextrun"/>
          <w:color w:val="000000"/>
          <w:bdr w:val="none" w:sz="0" w:space="0" w:color="auto" w:frame="1"/>
        </w:rPr>
        <w:t>,</w:t>
      </w:r>
      <w:r>
        <w:rPr>
          <w:rStyle w:val="normaltextrun"/>
          <w:color w:val="000000"/>
          <w:bdr w:val="none" w:sz="0" w:space="0" w:color="auto" w:frame="1"/>
        </w:rPr>
        <w:t xml:space="preserve"> </w:t>
      </w:r>
      <w:r w:rsidR="005C3BD9">
        <w:t xml:space="preserve">guided </w:t>
      </w:r>
      <w:r>
        <w:t>by Xerces Society and U of M Bee Lab</w:t>
      </w:r>
      <w:r w:rsidR="005C3BD9">
        <w:t>,</w:t>
      </w:r>
      <w:r w:rsidR="005C3BD9">
        <w:rPr>
          <w:rStyle w:val="normaltextrun"/>
          <w:color w:val="000000"/>
          <w:bdr w:val="none" w:sz="0" w:space="0" w:color="auto" w:frame="1"/>
        </w:rPr>
        <w:t xml:space="preserve"> </w:t>
      </w:r>
      <w:r w:rsidR="0027526B">
        <w:rPr>
          <w:rStyle w:val="normaltextrun"/>
          <w:color w:val="000000"/>
          <w:bdr w:val="none" w:sz="0" w:space="0" w:color="auto" w:frame="1"/>
        </w:rPr>
        <w:t xml:space="preserve">in order </w:t>
      </w:r>
      <w:r w:rsidR="005C3BD9">
        <w:rPr>
          <w:rStyle w:val="normaltextrun"/>
          <w:color w:val="000000"/>
          <w:bdr w:val="none" w:sz="0" w:space="0" w:color="auto" w:frame="1"/>
        </w:rPr>
        <w:t>to</w:t>
      </w:r>
      <w:r>
        <w:rPr>
          <w:rStyle w:val="normaltextrun"/>
          <w:color w:val="000000"/>
          <w:bdr w:val="none" w:sz="0" w:space="0" w:color="auto" w:frame="1"/>
        </w:rPr>
        <w:t xml:space="preserve"> </w:t>
      </w:r>
      <w:r w:rsidR="005C3BD9">
        <w:rPr>
          <w:rStyle w:val="normaltextrun"/>
          <w:color w:val="000000"/>
          <w:bdr w:val="none" w:sz="0" w:space="0" w:color="auto" w:frame="1"/>
        </w:rPr>
        <w:t>collect useful</w:t>
      </w:r>
      <w:r>
        <w:rPr>
          <w:rStyle w:val="normaltextrun"/>
          <w:color w:val="000000"/>
          <w:bdr w:val="none" w:sz="0" w:space="0" w:color="auto" w:frame="1"/>
        </w:rPr>
        <w:t xml:space="preserve"> </w:t>
      </w:r>
      <w:r w:rsidR="005C3BD9">
        <w:rPr>
          <w:rStyle w:val="normaltextrun"/>
          <w:color w:val="000000"/>
          <w:bdr w:val="none" w:sz="0" w:space="0" w:color="auto" w:frame="1"/>
        </w:rPr>
        <w:t>data</w:t>
      </w:r>
      <w:r>
        <w:rPr>
          <w:rStyle w:val="normaltextrun"/>
          <w:color w:val="000000"/>
          <w:bdr w:val="none" w:sz="0" w:space="0" w:color="auto" w:frame="1"/>
        </w:rPr>
        <w:t xml:space="preserve"> on pollinator response to </w:t>
      </w:r>
      <w:r w:rsidR="005C3BD9">
        <w:rPr>
          <w:rStyle w:val="normaltextrun"/>
          <w:color w:val="000000"/>
          <w:bdr w:val="none" w:sz="0" w:space="0" w:color="auto" w:frame="1"/>
        </w:rPr>
        <w:t xml:space="preserve">habitat improvements, </w:t>
      </w:r>
      <w:r>
        <w:rPr>
          <w:rStyle w:val="normaltextrun"/>
          <w:color w:val="000000"/>
          <w:bdr w:val="none" w:sz="0" w:space="0" w:color="auto" w:frame="1"/>
        </w:rPr>
        <w:t>effectively engag</w:t>
      </w:r>
      <w:r w:rsidR="0027526B">
        <w:rPr>
          <w:rStyle w:val="normaltextrun"/>
          <w:color w:val="000000"/>
          <w:bdr w:val="none" w:sz="0" w:space="0" w:color="auto" w:frame="1"/>
        </w:rPr>
        <w:t>ing</w:t>
      </w:r>
      <w:r>
        <w:rPr>
          <w:rStyle w:val="normaltextrun"/>
          <w:color w:val="000000"/>
          <w:bdr w:val="none" w:sz="0" w:space="0" w:color="auto" w:frame="1"/>
        </w:rPr>
        <w:t xml:space="preserve"> </w:t>
      </w:r>
      <w:r w:rsidR="0027526B">
        <w:rPr>
          <w:rStyle w:val="normaltextrun"/>
          <w:color w:val="000000"/>
          <w:bdr w:val="none" w:sz="0" w:space="0" w:color="auto" w:frame="1"/>
        </w:rPr>
        <w:t>50</w:t>
      </w:r>
      <w:r>
        <w:rPr>
          <w:rStyle w:val="normaltextrun"/>
          <w:color w:val="000000"/>
          <w:bdr w:val="none" w:sz="0" w:space="0" w:color="auto" w:frame="1"/>
        </w:rPr>
        <w:t xml:space="preserve"> citizen</w:t>
      </w:r>
      <w:r w:rsidR="0027526B">
        <w:rPr>
          <w:rStyle w:val="normaltextrun"/>
          <w:color w:val="000000"/>
          <w:bdr w:val="none" w:sz="0" w:space="0" w:color="auto" w:frame="1"/>
        </w:rPr>
        <w:t xml:space="preserve"> scientist</w:t>
      </w:r>
      <w:r>
        <w:rPr>
          <w:rStyle w:val="normaltextrun"/>
          <w:color w:val="000000"/>
          <w:bdr w:val="none" w:sz="0" w:space="0" w:color="auto" w:frame="1"/>
        </w:rPr>
        <w:t xml:space="preserve">s in monitoring efforts </w:t>
      </w:r>
      <w:r w:rsidR="005C3BD9">
        <w:rPr>
          <w:rStyle w:val="normaltextrun"/>
          <w:color w:val="000000"/>
          <w:bdr w:val="none" w:sz="0" w:space="0" w:color="auto" w:frame="1"/>
        </w:rPr>
        <w:t xml:space="preserve">by </w:t>
      </w:r>
      <w:r w:rsidR="0027526B">
        <w:rPr>
          <w:rStyle w:val="normaltextrun"/>
          <w:color w:val="000000"/>
          <w:bdr w:val="none" w:sz="0" w:space="0" w:color="auto" w:frame="1"/>
        </w:rPr>
        <w:t>requiring reasonable</w:t>
      </w:r>
      <w:r w:rsidR="005C3BD9">
        <w:rPr>
          <w:rStyle w:val="normaltextrun"/>
          <w:color w:val="000000"/>
          <w:bdr w:val="none" w:sz="0" w:space="0" w:color="auto" w:frame="1"/>
        </w:rPr>
        <w:t xml:space="preserve"> time, skill, and </w:t>
      </w:r>
      <w:r w:rsidR="0027526B">
        <w:rPr>
          <w:rStyle w:val="normaltextrun"/>
          <w:color w:val="000000"/>
          <w:bdr w:val="none" w:sz="0" w:space="0" w:color="auto" w:frame="1"/>
        </w:rPr>
        <w:t xml:space="preserve">expense, making the approach </w:t>
      </w:r>
      <w:proofErr w:type="spellStart"/>
      <w:r w:rsidR="0027526B">
        <w:rPr>
          <w:rStyle w:val="normaltextrun"/>
          <w:color w:val="000000"/>
          <w:bdr w:val="none" w:sz="0" w:space="0" w:color="auto" w:frame="1"/>
        </w:rPr>
        <w:t>scaleable</w:t>
      </w:r>
      <w:proofErr w:type="spellEnd"/>
      <w:r w:rsidR="0027526B">
        <w:rPr>
          <w:rStyle w:val="normaltextrun"/>
          <w:color w:val="000000"/>
          <w:bdr w:val="none" w:sz="0" w:space="0" w:color="auto" w:frame="1"/>
        </w:rPr>
        <w:t>.</w:t>
      </w:r>
      <w:r>
        <w:t xml:space="preserve"> </w:t>
      </w:r>
      <w:r w:rsidR="0027526B">
        <w:t xml:space="preserve">A final report will be generated and disseminated that will help guide the implementation in </w:t>
      </w:r>
      <w:r>
        <w:t xml:space="preserve">future phases of this program. </w:t>
      </w:r>
    </w:p>
    <w:p w:rsidR="008269AA" w:rsidRDefault="008269AA" w:rsidP="008269AA">
      <w:pPr>
        <w:rPr>
          <w:rFonts w:cs="Arial"/>
          <w:b/>
        </w:rPr>
      </w:pPr>
    </w:p>
    <w:p w:rsidR="008269AA" w:rsidRPr="009D6EC8" w:rsidRDefault="008269AA" w:rsidP="008269AA">
      <w:pPr>
        <w:rPr>
          <w:rFonts w:cs="Arial"/>
        </w:rPr>
      </w:pPr>
      <w:r w:rsidRPr="009D6EC8">
        <w:rPr>
          <w:rFonts w:cs="Arial"/>
          <w:b/>
        </w:rPr>
        <w:t>II. PROJECT ACTIVITIES</w:t>
      </w:r>
      <w:r>
        <w:rPr>
          <w:rFonts w:cs="Arial"/>
          <w:b/>
        </w:rPr>
        <w:t xml:space="preserve"> AND OUTCOMES</w:t>
      </w:r>
    </w:p>
    <w:p w:rsidR="008269AA" w:rsidRPr="009D6EC8" w:rsidRDefault="008269AA" w:rsidP="008269AA">
      <w:pPr>
        <w:rPr>
          <w:rFonts w:cs="Arial"/>
          <w:i/>
        </w:rPr>
      </w:pPr>
    </w:p>
    <w:tbl>
      <w:tblPr>
        <w:tblW w:w="10476" w:type="dxa"/>
        <w:tblLook w:val="04A0" w:firstRow="1" w:lastRow="0" w:firstColumn="1" w:lastColumn="0" w:noHBand="0" w:noVBand="1"/>
      </w:tblPr>
      <w:tblGrid>
        <w:gridCol w:w="8285"/>
        <w:gridCol w:w="1785"/>
        <w:gridCol w:w="100"/>
        <w:gridCol w:w="306"/>
      </w:tblGrid>
      <w:tr w:rsidR="008269AA" w:rsidRPr="00EB5831" w:rsidTr="00E837D1">
        <w:tc>
          <w:tcPr>
            <w:tcW w:w="10170" w:type="dxa"/>
            <w:gridSpan w:val="3"/>
          </w:tcPr>
          <w:p w:rsidR="008269AA" w:rsidRDefault="008269AA" w:rsidP="00E837D1">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Pollinator Habitat Restoration</w:t>
            </w:r>
            <w:r w:rsidR="00BA242D">
              <w:rPr>
                <w:rFonts w:cs="Arial"/>
                <w:b/>
              </w:rPr>
              <w:t xml:space="preserve"> and Enhancement</w:t>
            </w:r>
          </w:p>
          <w:p w:rsidR="008269AA" w:rsidRDefault="008269AA" w:rsidP="00E837D1">
            <w:pPr>
              <w:widowControl w:val="0"/>
              <w:rPr>
                <w:rFonts w:cs="Arial"/>
                <w:i/>
              </w:rPr>
            </w:pPr>
            <w:r>
              <w:rPr>
                <w:rFonts w:cs="Arial"/>
                <w:b/>
              </w:rPr>
              <w:t>Description:</w:t>
            </w:r>
            <w:r w:rsidRPr="00EB5831">
              <w:rPr>
                <w:rFonts w:cs="Arial"/>
                <w:i/>
              </w:rPr>
              <w:t xml:space="preserve"> </w:t>
            </w:r>
          </w:p>
          <w:p w:rsidR="008269AA" w:rsidRDefault="0071757C" w:rsidP="00CF3C9F">
            <w:pPr>
              <w:autoSpaceDE w:val="0"/>
              <w:autoSpaceDN w:val="0"/>
              <w:adjustRightInd w:val="0"/>
            </w:pPr>
            <w:r>
              <w:t>Habitat restoration and enhancement steps will typically follow:</w:t>
            </w:r>
            <w:r w:rsidR="00CF3C9F">
              <w:t xml:space="preserve"> </w:t>
            </w:r>
            <w:r>
              <w:t xml:space="preserve">Site selection </w:t>
            </w:r>
            <w:r w:rsidR="00CF3C9F">
              <w:t>and ranking; habitat improvement plan including goals t</w:t>
            </w:r>
            <w:r w:rsidR="00DA2112">
              <w:t>imelines,</w:t>
            </w:r>
            <w:r w:rsidR="00CF3C9F">
              <w:t xml:space="preserve"> labor forces</w:t>
            </w:r>
            <w:r w:rsidR="00DA2112">
              <w:t xml:space="preserve"> such as volunteers, landowners, Greening crew, subcontractors and partners,</w:t>
            </w:r>
            <w:r w:rsidR="00CF3C9F">
              <w:t xml:space="preserve"> and long term management; site preparation, installation, establishment; </w:t>
            </w:r>
            <w:r w:rsidR="00DA2112">
              <w:t xml:space="preserve">and monitoring throughout. </w:t>
            </w:r>
          </w:p>
          <w:p w:rsidR="008269AA" w:rsidRDefault="008269AA" w:rsidP="00E837D1"/>
          <w:p w:rsidR="008269AA" w:rsidRDefault="008269AA" w:rsidP="00E837D1">
            <w:r>
              <w:t xml:space="preserve">We will restore pollinator habitat with a focus on SGCN </w:t>
            </w:r>
            <w:r w:rsidR="00DA2112">
              <w:t xml:space="preserve">bumble bee </w:t>
            </w:r>
            <w:r>
              <w:t xml:space="preserve">species </w:t>
            </w:r>
            <w:r w:rsidR="00197ECE">
              <w:t>on public and protected private</w:t>
            </w:r>
            <w:r>
              <w:t xml:space="preserve"> locations through a pollinator corridor following the Mississippi River</w:t>
            </w:r>
            <w:r w:rsidRPr="00692D49">
              <w:t xml:space="preserve"> </w:t>
            </w:r>
            <w:r>
              <w:t>anchored by Twin Cities and St. Cloud. Following recommendations from the Governor’s Committee and others, we will include non-traditional habitat areas, including turf conversions and roadsides in addition to traditional habitat cores.</w:t>
            </w:r>
            <w:r w:rsidRPr="00EA4764">
              <w:t xml:space="preserve"> </w:t>
            </w:r>
            <w:r>
              <w:t xml:space="preserve">Typical restoration activities will include prairie and savanna restoration; wetland and shoreline restoration and enhancement; judicious use of woodland and forest restoration, restricted in size and to locations that </w:t>
            </w:r>
            <w:r w:rsidR="00DA2112">
              <w:t>are adjacent to season-l</w:t>
            </w:r>
            <w:r>
              <w:t xml:space="preserve">ong habitat emphasizing forbs, select flowering shrubs and trees, and habitat needs for overwintering and nesting. Restoration and enhancement activities will be implemented guided by ecological plans, and implemented by a variety of labor forces including subcontractors, field crews, landowner in-kind, and volunteers. </w:t>
            </w:r>
          </w:p>
          <w:p w:rsidR="008269AA" w:rsidRDefault="008269AA" w:rsidP="00E837D1">
            <w:pPr>
              <w:autoSpaceDE w:val="0"/>
              <w:autoSpaceDN w:val="0"/>
              <w:adjustRightInd w:val="0"/>
            </w:pPr>
          </w:p>
          <w:p w:rsidR="008269AA" w:rsidRDefault="008269AA" w:rsidP="00E837D1">
            <w:pPr>
              <w:autoSpaceDE w:val="0"/>
              <w:autoSpaceDN w:val="0"/>
              <w:adjustRightInd w:val="0"/>
              <w:rPr>
                <w:rFonts w:cs="Arial"/>
                <w:b/>
                <w:bCs/>
                <w:color w:val="000000"/>
              </w:rPr>
            </w:pPr>
            <w:r>
              <w:rPr>
                <w:rFonts w:cs="Arial"/>
                <w:b/>
                <w:bCs/>
                <w:color w:val="000000"/>
              </w:rPr>
              <w:lastRenderedPageBreak/>
              <w:t>ENRTF BUDGET: $8</w:t>
            </w:r>
            <w:r w:rsidR="005F72F4">
              <w:rPr>
                <w:rFonts w:cs="Arial"/>
                <w:b/>
                <w:bCs/>
                <w:color w:val="000000"/>
              </w:rPr>
              <w:t>61,0</w:t>
            </w:r>
            <w:r>
              <w:rPr>
                <w:rFonts w:cs="Arial"/>
                <w:b/>
                <w:bCs/>
                <w:color w:val="000000"/>
              </w:rPr>
              <w:t>00</w:t>
            </w:r>
          </w:p>
          <w:p w:rsidR="008269AA" w:rsidRPr="00217C2A" w:rsidRDefault="008269AA" w:rsidP="00E837D1">
            <w:pPr>
              <w:autoSpaceDE w:val="0"/>
              <w:autoSpaceDN w:val="0"/>
              <w:adjustRightInd w:val="0"/>
              <w:rPr>
                <w:sz w:val="18"/>
                <w:szCs w:val="18"/>
              </w:rPr>
            </w:pPr>
          </w:p>
        </w:tc>
        <w:tc>
          <w:tcPr>
            <w:tcW w:w="306" w:type="dxa"/>
          </w:tcPr>
          <w:p w:rsidR="008269AA" w:rsidRPr="00EB5831" w:rsidRDefault="008269AA" w:rsidP="00E837D1">
            <w:pPr>
              <w:rPr>
                <w:rFonts w:cs="Arial"/>
              </w:rPr>
            </w:pPr>
          </w:p>
        </w:tc>
      </w:tr>
      <w:tr w:rsidR="008269AA" w:rsidRPr="009D6EC8" w:rsidTr="00E8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5" w:type="dxa"/>
          </w:tcPr>
          <w:p w:rsidR="008269AA" w:rsidRPr="009D6EC8" w:rsidRDefault="008269AA" w:rsidP="00E837D1">
            <w:pPr>
              <w:rPr>
                <w:rFonts w:cs="Arial"/>
                <w:b/>
              </w:rPr>
            </w:pPr>
            <w:r w:rsidRPr="009D6EC8">
              <w:rPr>
                <w:rFonts w:cs="Arial"/>
                <w:b/>
              </w:rPr>
              <w:t>Outcome</w:t>
            </w:r>
          </w:p>
        </w:tc>
        <w:tc>
          <w:tcPr>
            <w:tcW w:w="1785" w:type="dxa"/>
          </w:tcPr>
          <w:p w:rsidR="008269AA" w:rsidRPr="009D6EC8" w:rsidRDefault="008269AA" w:rsidP="00E837D1">
            <w:pPr>
              <w:jc w:val="center"/>
              <w:rPr>
                <w:rFonts w:cs="Arial"/>
                <w:b/>
              </w:rPr>
            </w:pPr>
            <w:r w:rsidRPr="009D6EC8">
              <w:rPr>
                <w:rFonts w:cs="Arial"/>
                <w:b/>
              </w:rPr>
              <w:t>Completion Date</w:t>
            </w:r>
          </w:p>
        </w:tc>
      </w:tr>
      <w:tr w:rsidR="008269AA" w:rsidRPr="009D6EC8" w:rsidTr="00E8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5" w:type="dxa"/>
          </w:tcPr>
          <w:p w:rsidR="008269AA" w:rsidRPr="009D6EC8" w:rsidRDefault="008269AA" w:rsidP="00E837D1">
            <w:pPr>
              <w:rPr>
                <w:rFonts w:cs="Arial"/>
                <w:i/>
              </w:rPr>
            </w:pPr>
            <w:r w:rsidRPr="009D6EC8">
              <w:rPr>
                <w:rFonts w:cs="Arial"/>
                <w:i/>
              </w:rPr>
              <w:t xml:space="preserve">1.  </w:t>
            </w:r>
            <w:r>
              <w:rPr>
                <w:rFonts w:cs="Arial"/>
                <w:i/>
              </w:rPr>
              <w:t>Site selection, management planning</w:t>
            </w:r>
          </w:p>
        </w:tc>
        <w:tc>
          <w:tcPr>
            <w:tcW w:w="1785" w:type="dxa"/>
          </w:tcPr>
          <w:p w:rsidR="008269AA" w:rsidRPr="009D6EC8" w:rsidRDefault="008269AA" w:rsidP="00E837D1">
            <w:pPr>
              <w:rPr>
                <w:rFonts w:cs="Arial"/>
                <w:i/>
              </w:rPr>
            </w:pPr>
            <w:r>
              <w:rPr>
                <w:rFonts w:cs="Arial"/>
                <w:i/>
              </w:rPr>
              <w:t>June 30 2021</w:t>
            </w:r>
          </w:p>
        </w:tc>
      </w:tr>
      <w:tr w:rsidR="008269AA" w:rsidRPr="009D6EC8" w:rsidTr="00E837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6" w:type="dxa"/>
        </w:trPr>
        <w:tc>
          <w:tcPr>
            <w:tcW w:w="8285" w:type="dxa"/>
          </w:tcPr>
          <w:p w:rsidR="008269AA" w:rsidRPr="009D6EC8" w:rsidRDefault="008269AA" w:rsidP="00E837D1">
            <w:pPr>
              <w:rPr>
                <w:rFonts w:cs="Arial"/>
                <w:i/>
              </w:rPr>
            </w:pPr>
            <w:r w:rsidRPr="009D6EC8">
              <w:rPr>
                <w:rFonts w:cs="Arial"/>
                <w:i/>
              </w:rPr>
              <w:t xml:space="preserve">2.  </w:t>
            </w:r>
            <w:r>
              <w:rPr>
                <w:rFonts w:cs="Arial"/>
                <w:i/>
              </w:rPr>
              <w:t xml:space="preserve">Restoration and Enhancement implementation </w:t>
            </w:r>
          </w:p>
        </w:tc>
        <w:tc>
          <w:tcPr>
            <w:tcW w:w="1785" w:type="dxa"/>
          </w:tcPr>
          <w:p w:rsidR="008269AA" w:rsidRPr="009D6EC8" w:rsidRDefault="008269AA" w:rsidP="00E837D1">
            <w:pPr>
              <w:rPr>
                <w:rFonts w:cs="Arial"/>
                <w:i/>
              </w:rPr>
            </w:pPr>
            <w:r>
              <w:rPr>
                <w:rFonts w:cs="Arial"/>
                <w:i/>
              </w:rPr>
              <w:t>June 30, 2023</w:t>
            </w:r>
          </w:p>
        </w:tc>
      </w:tr>
    </w:tbl>
    <w:p w:rsidR="008269AA" w:rsidRDefault="008269AA" w:rsidP="008269AA">
      <w:pPr>
        <w:widowControl w:val="0"/>
        <w:rPr>
          <w:rFonts w:cs="Arial"/>
          <w:b/>
        </w:rPr>
      </w:pPr>
    </w:p>
    <w:p w:rsidR="008269AA" w:rsidRDefault="008269AA" w:rsidP="008269AA">
      <w:pPr>
        <w:widowControl w:val="0"/>
        <w:rPr>
          <w:rFonts w:cs="Arial"/>
          <w:b/>
        </w:rPr>
      </w:pPr>
      <w:r w:rsidRPr="00EB5831">
        <w:rPr>
          <w:rFonts w:cs="Arial"/>
          <w:b/>
        </w:rPr>
        <w:t xml:space="preserve">Activity </w:t>
      </w:r>
      <w:r>
        <w:rPr>
          <w:rFonts w:cs="Arial"/>
          <w:b/>
        </w:rPr>
        <w:t>2 Title</w:t>
      </w:r>
      <w:r w:rsidRPr="00EB5831">
        <w:rPr>
          <w:rFonts w:cs="Arial"/>
          <w:b/>
        </w:rPr>
        <w:t>:</w:t>
      </w:r>
      <w:r>
        <w:rPr>
          <w:rFonts w:cs="Arial"/>
          <w:b/>
        </w:rPr>
        <w:t xml:space="preserve"> </w:t>
      </w:r>
      <w:r w:rsidR="00DA2112">
        <w:rPr>
          <w:rFonts w:cs="Arial"/>
          <w:b/>
        </w:rPr>
        <w:t xml:space="preserve">Citizen Science </w:t>
      </w:r>
      <w:r>
        <w:rPr>
          <w:rFonts w:cs="Arial"/>
          <w:b/>
        </w:rPr>
        <w:t>Pollinator Monito</w:t>
      </w:r>
      <w:bookmarkStart w:id="0" w:name="_GoBack"/>
      <w:bookmarkEnd w:id="0"/>
      <w:r>
        <w:rPr>
          <w:rFonts w:cs="Arial"/>
          <w:b/>
        </w:rPr>
        <w:t>ring</w:t>
      </w:r>
    </w:p>
    <w:p w:rsidR="00DA2112" w:rsidRDefault="00DA2112" w:rsidP="008269AA">
      <w:pPr>
        <w:widowControl w:val="0"/>
        <w:rPr>
          <w:rFonts w:cs="Arial"/>
          <w:b/>
        </w:rPr>
      </w:pPr>
    </w:p>
    <w:p w:rsidR="008269AA" w:rsidRDefault="008269AA" w:rsidP="008269AA">
      <w:pPr>
        <w:widowControl w:val="0"/>
        <w:rPr>
          <w:rFonts w:cs="Arial"/>
          <w:i/>
        </w:rPr>
      </w:pPr>
      <w:r>
        <w:rPr>
          <w:rFonts w:cs="Arial"/>
          <w:b/>
        </w:rPr>
        <w:t>Description:</w:t>
      </w:r>
      <w:r w:rsidRPr="00EB5831">
        <w:rPr>
          <w:rFonts w:cs="Arial"/>
          <w:i/>
        </w:rPr>
        <w:t xml:space="preserve"> </w:t>
      </w:r>
    </w:p>
    <w:p w:rsidR="008269AA" w:rsidRDefault="00DA2112" w:rsidP="008269AA">
      <w:r>
        <w:t>M</w:t>
      </w:r>
      <w:r w:rsidR="008269AA">
        <w:t xml:space="preserve">onitoring will include timed </w:t>
      </w:r>
      <w:r>
        <w:t xml:space="preserve">vegetation </w:t>
      </w:r>
      <w:r w:rsidR="008269AA">
        <w:t>meanders</w:t>
      </w:r>
      <w:r>
        <w:t>,</w:t>
      </w:r>
      <w:r w:rsidR="008269AA">
        <w:t xml:space="preserve"> and </w:t>
      </w:r>
      <w:r>
        <w:t xml:space="preserve">pollinator </w:t>
      </w:r>
      <w:r w:rsidR="008269AA">
        <w:t xml:space="preserve">assessment using guides such as Rusty Patched Bumble Bee </w:t>
      </w:r>
      <w:r>
        <w:t>H</w:t>
      </w:r>
      <w:r w:rsidR="008269AA">
        <w:t xml:space="preserve">abitat </w:t>
      </w:r>
      <w:r>
        <w:t>A</w:t>
      </w:r>
      <w:r w:rsidR="008269AA">
        <w:t>ssessment guide (Xerces Society). Direct pollinator monitoring guided and developed by Xerces Society and U of M Bee Lab will encompass a suite of approaches including citizen science techniques of timed meander counts</w:t>
      </w:r>
      <w:r>
        <w:t xml:space="preserve"> on 16 sites, with training;</w:t>
      </w:r>
      <w:r w:rsidR="008269AA">
        <w:t xml:space="preserve"> non-lethal </w:t>
      </w:r>
      <w:r>
        <w:t xml:space="preserve">bumble bee </w:t>
      </w:r>
      <w:r w:rsidR="008269AA">
        <w:t>capture with expert identification</w:t>
      </w:r>
      <w:r>
        <w:t xml:space="preserve"> 3 times per year for 3 years on one site</w:t>
      </w:r>
      <w:r w:rsidR="008269AA">
        <w:t xml:space="preserve">, non-lethal photography with </w:t>
      </w:r>
      <w:r>
        <w:t>expert</w:t>
      </w:r>
      <w:r w:rsidR="008269AA">
        <w:t xml:space="preserve"> identification</w:t>
      </w:r>
      <w:r>
        <w:t xml:space="preserve"> at 3 sites.</w:t>
      </w:r>
      <w:r w:rsidR="008269AA">
        <w:t> </w:t>
      </w:r>
    </w:p>
    <w:p w:rsidR="008269AA" w:rsidRDefault="008269AA" w:rsidP="008269AA"/>
    <w:p w:rsidR="008269AA" w:rsidRDefault="008269AA" w:rsidP="008269AA">
      <w:r>
        <w:t>Monitoring will occur pre and post restoration/enhancement to determine</w:t>
      </w:r>
      <w:r w:rsidR="00C970CE">
        <w:t xml:space="preserve"> the pollinator habitat</w:t>
      </w:r>
      <w:r>
        <w:t xml:space="preserve"> value of the site and the </w:t>
      </w:r>
      <w:r w:rsidR="00C970CE">
        <w:t xml:space="preserve">response to the </w:t>
      </w:r>
      <w:r>
        <w:t>improvements. This monitoring will</w:t>
      </w:r>
      <w:r w:rsidR="00C970CE">
        <w:t xml:space="preserve"> potentially</w:t>
      </w:r>
      <w:r>
        <w:t xml:space="preserve"> take several forms and at escalating levels of rigor: the simplest monitoring will include a timed count of 3 categories of pollinators (honey bees vs. native bees vs. other floral visitors); c</w:t>
      </w:r>
      <w:r w:rsidR="00C970CE">
        <w:t>atch</w:t>
      </w:r>
      <w:r>
        <w:t xml:space="preserve"> and release</w:t>
      </w:r>
      <w:r w:rsidR="00C970CE">
        <w:t xml:space="preserve"> surveys</w:t>
      </w:r>
      <w:r>
        <w:t xml:space="preserve"> of bumble bees with expert identification following MN Native Bee Survey and Midwest Guide to Bumble Bee Monitoring (Xerces Society) methods; and camera ‘trapping’ using skilled photographers and expert identification using guidelines established by the USFWS for monitoring bumble bee communities and new approaches being developed by Xerces Society and the Bee Lab for other groups.  </w:t>
      </w:r>
    </w:p>
    <w:p w:rsidR="008269AA" w:rsidRDefault="008269AA" w:rsidP="008269AA">
      <w:pPr>
        <w:autoSpaceDE w:val="0"/>
        <w:autoSpaceDN w:val="0"/>
        <w:adjustRightInd w:val="0"/>
        <w:rPr>
          <w:rFonts w:cs="Arial"/>
          <w:b/>
          <w:bCs/>
          <w:color w:val="000000"/>
        </w:rPr>
      </w:pPr>
    </w:p>
    <w:p w:rsidR="008269AA" w:rsidRDefault="008269AA" w:rsidP="008269AA">
      <w:pPr>
        <w:autoSpaceDE w:val="0"/>
        <w:autoSpaceDN w:val="0"/>
        <w:adjustRightInd w:val="0"/>
        <w:rPr>
          <w:rFonts w:cs="Arial"/>
          <w:b/>
          <w:bCs/>
          <w:color w:val="000000"/>
        </w:rPr>
      </w:pPr>
      <w:r>
        <w:rPr>
          <w:rFonts w:cs="Arial"/>
          <w:b/>
          <w:bCs/>
          <w:color w:val="000000"/>
        </w:rPr>
        <w:t>ENRTF BUDGET: $120,000</w:t>
      </w:r>
    </w:p>
    <w:p w:rsidR="008269AA" w:rsidRDefault="008269AA" w:rsidP="008269AA">
      <w:pPr>
        <w:tabs>
          <w:tab w:val="left" w:pos="540"/>
        </w:tabs>
        <w:autoSpaceDE w:val="0"/>
        <w:autoSpaceDN w:val="0"/>
        <w:adjustRightInd w:val="0"/>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8269AA" w:rsidRPr="009D6EC8" w:rsidTr="00E837D1">
        <w:tc>
          <w:tcPr>
            <w:tcW w:w="8285" w:type="dxa"/>
          </w:tcPr>
          <w:p w:rsidR="008269AA" w:rsidRPr="009D6EC8" w:rsidRDefault="008269AA" w:rsidP="00E837D1">
            <w:pPr>
              <w:rPr>
                <w:rFonts w:cs="Arial"/>
                <w:b/>
              </w:rPr>
            </w:pPr>
            <w:r w:rsidRPr="009D6EC8">
              <w:rPr>
                <w:rFonts w:cs="Arial"/>
                <w:b/>
              </w:rPr>
              <w:t>Outcome</w:t>
            </w:r>
          </w:p>
        </w:tc>
        <w:tc>
          <w:tcPr>
            <w:tcW w:w="1785" w:type="dxa"/>
          </w:tcPr>
          <w:p w:rsidR="008269AA" w:rsidRPr="009D6EC8" w:rsidRDefault="008269AA" w:rsidP="00E837D1">
            <w:pPr>
              <w:jc w:val="center"/>
              <w:rPr>
                <w:rFonts w:cs="Arial"/>
                <w:b/>
              </w:rPr>
            </w:pPr>
            <w:r w:rsidRPr="009D6EC8">
              <w:rPr>
                <w:rFonts w:cs="Arial"/>
                <w:b/>
              </w:rPr>
              <w:t>Completion Date</w:t>
            </w:r>
          </w:p>
        </w:tc>
      </w:tr>
      <w:tr w:rsidR="008269AA" w:rsidRPr="009D6EC8" w:rsidTr="00E837D1">
        <w:tc>
          <w:tcPr>
            <w:tcW w:w="8285" w:type="dxa"/>
          </w:tcPr>
          <w:p w:rsidR="008269AA" w:rsidRPr="009D6EC8" w:rsidRDefault="008269AA" w:rsidP="002B416E">
            <w:pPr>
              <w:rPr>
                <w:rFonts w:cs="Arial"/>
                <w:i/>
              </w:rPr>
            </w:pPr>
            <w:r w:rsidRPr="009D6EC8">
              <w:rPr>
                <w:rFonts w:cs="Arial"/>
                <w:i/>
              </w:rPr>
              <w:t xml:space="preserve">1.  </w:t>
            </w:r>
            <w:r>
              <w:rPr>
                <w:rFonts w:cs="Arial"/>
                <w:i/>
              </w:rPr>
              <w:t>Baseline surveys</w:t>
            </w:r>
            <w:r w:rsidR="0092797D">
              <w:rPr>
                <w:rFonts w:cs="Arial"/>
                <w:i/>
              </w:rPr>
              <w:t xml:space="preserve"> </w:t>
            </w:r>
            <w:r w:rsidR="002B416E">
              <w:rPr>
                <w:rFonts w:cs="Arial"/>
                <w:i/>
              </w:rPr>
              <w:t>for each of the 20 sites</w:t>
            </w:r>
            <w:r w:rsidR="0092797D">
              <w:rPr>
                <w:rFonts w:cs="Arial"/>
                <w:i/>
              </w:rPr>
              <w:t>....</w:t>
            </w:r>
          </w:p>
        </w:tc>
        <w:tc>
          <w:tcPr>
            <w:tcW w:w="1785" w:type="dxa"/>
          </w:tcPr>
          <w:p w:rsidR="008269AA" w:rsidRPr="009D6EC8" w:rsidRDefault="008269AA" w:rsidP="00E837D1">
            <w:pPr>
              <w:rPr>
                <w:rFonts w:cs="Arial"/>
                <w:i/>
              </w:rPr>
            </w:pPr>
            <w:r>
              <w:rPr>
                <w:rFonts w:cs="Arial"/>
                <w:i/>
              </w:rPr>
              <w:t>June 30 2021</w:t>
            </w:r>
          </w:p>
        </w:tc>
      </w:tr>
      <w:tr w:rsidR="008269AA" w:rsidRPr="009D6EC8" w:rsidTr="00E837D1">
        <w:tc>
          <w:tcPr>
            <w:tcW w:w="8285" w:type="dxa"/>
          </w:tcPr>
          <w:p w:rsidR="008269AA" w:rsidRPr="009D6EC8" w:rsidRDefault="008269AA" w:rsidP="00E837D1">
            <w:pPr>
              <w:rPr>
                <w:rFonts w:cs="Arial"/>
                <w:i/>
              </w:rPr>
            </w:pPr>
            <w:r w:rsidRPr="009D6EC8">
              <w:rPr>
                <w:rFonts w:cs="Arial"/>
                <w:i/>
              </w:rPr>
              <w:t xml:space="preserve">2.  </w:t>
            </w:r>
            <w:r>
              <w:rPr>
                <w:rFonts w:cs="Arial"/>
                <w:i/>
              </w:rPr>
              <w:t>Site by site monitoring plan</w:t>
            </w:r>
          </w:p>
        </w:tc>
        <w:tc>
          <w:tcPr>
            <w:tcW w:w="1785" w:type="dxa"/>
          </w:tcPr>
          <w:p w:rsidR="008269AA" w:rsidRPr="009D6EC8" w:rsidRDefault="008269AA" w:rsidP="00E837D1">
            <w:pPr>
              <w:rPr>
                <w:rFonts w:cs="Arial"/>
                <w:i/>
              </w:rPr>
            </w:pPr>
            <w:r>
              <w:rPr>
                <w:rFonts w:cs="Arial"/>
                <w:i/>
              </w:rPr>
              <w:t>June 30, 2021</w:t>
            </w:r>
          </w:p>
        </w:tc>
      </w:tr>
      <w:tr w:rsidR="008269AA" w:rsidRPr="009D6EC8" w:rsidTr="00E837D1">
        <w:tc>
          <w:tcPr>
            <w:tcW w:w="8285" w:type="dxa"/>
          </w:tcPr>
          <w:p w:rsidR="008269AA" w:rsidRPr="009D6EC8" w:rsidRDefault="008269AA" w:rsidP="00E837D1">
            <w:pPr>
              <w:rPr>
                <w:rFonts w:cs="Arial"/>
                <w:i/>
              </w:rPr>
            </w:pPr>
            <w:r w:rsidRPr="009D6EC8">
              <w:rPr>
                <w:rFonts w:cs="Arial"/>
                <w:i/>
              </w:rPr>
              <w:t xml:space="preserve">3.  </w:t>
            </w:r>
            <w:r>
              <w:rPr>
                <w:rFonts w:cs="Arial"/>
                <w:i/>
              </w:rPr>
              <w:t>Data collection and final report</w:t>
            </w:r>
          </w:p>
        </w:tc>
        <w:tc>
          <w:tcPr>
            <w:tcW w:w="1785" w:type="dxa"/>
          </w:tcPr>
          <w:p w:rsidR="008269AA" w:rsidRPr="009D6EC8" w:rsidRDefault="008269AA" w:rsidP="00E837D1">
            <w:pPr>
              <w:rPr>
                <w:rFonts w:cs="Arial"/>
                <w:i/>
              </w:rPr>
            </w:pPr>
            <w:r>
              <w:rPr>
                <w:rFonts w:cs="Arial"/>
                <w:i/>
              </w:rPr>
              <w:t>June 30, 2023</w:t>
            </w:r>
          </w:p>
        </w:tc>
      </w:tr>
    </w:tbl>
    <w:p w:rsidR="008269AA" w:rsidRDefault="008269AA" w:rsidP="008269AA">
      <w:pPr>
        <w:tabs>
          <w:tab w:val="left" w:pos="540"/>
        </w:tabs>
        <w:autoSpaceDE w:val="0"/>
        <w:autoSpaceDN w:val="0"/>
        <w:adjustRightInd w:val="0"/>
        <w:rPr>
          <w:rFonts w:cs="Arial"/>
          <w:i/>
        </w:rPr>
      </w:pPr>
    </w:p>
    <w:p w:rsidR="008269AA" w:rsidRPr="00073C96" w:rsidRDefault="008269AA" w:rsidP="008269AA">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8269AA" w:rsidRPr="00197ECE" w:rsidRDefault="008269AA" w:rsidP="008269AA">
      <w:pPr>
        <w:rPr>
          <w:rFonts w:cs="Arial"/>
        </w:rPr>
      </w:pPr>
      <w:r w:rsidRPr="00197ECE">
        <w:rPr>
          <w:rFonts w:cs="Arial"/>
        </w:rPr>
        <w:t>Xerces Society</w:t>
      </w:r>
    </w:p>
    <w:p w:rsidR="008269AA" w:rsidRPr="00197ECE" w:rsidRDefault="00C970CE" w:rsidP="008269AA">
      <w:pPr>
        <w:rPr>
          <w:rFonts w:cs="Arial"/>
        </w:rPr>
      </w:pPr>
      <w:r w:rsidRPr="00197ECE">
        <w:rPr>
          <w:rFonts w:cs="Arial"/>
        </w:rPr>
        <w:t xml:space="preserve">U </w:t>
      </w:r>
      <w:r w:rsidR="008269AA" w:rsidRPr="00197ECE">
        <w:rPr>
          <w:rFonts w:cs="Arial"/>
        </w:rPr>
        <w:t>of M Bee Lab</w:t>
      </w:r>
    </w:p>
    <w:p w:rsidR="008269AA" w:rsidRPr="00197ECE" w:rsidRDefault="008269AA" w:rsidP="008269AA">
      <w:pPr>
        <w:rPr>
          <w:rFonts w:cs="Arial"/>
        </w:rPr>
      </w:pPr>
      <w:r w:rsidRPr="00197ECE">
        <w:rPr>
          <w:rFonts w:cs="Arial"/>
        </w:rPr>
        <w:t>Landowners (see parcel list)</w:t>
      </w:r>
    </w:p>
    <w:p w:rsidR="008269AA" w:rsidRPr="009D6EC8" w:rsidRDefault="008269AA" w:rsidP="008269AA">
      <w:pPr>
        <w:rPr>
          <w:rFonts w:cs="Arial"/>
          <w:b/>
        </w:rPr>
      </w:pPr>
    </w:p>
    <w:p w:rsidR="008269AA" w:rsidRPr="00AF4ECD" w:rsidRDefault="008269AA" w:rsidP="008269AA">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rsidR="008269AA" w:rsidRPr="00C970CE" w:rsidRDefault="008269AA" w:rsidP="008269AA">
      <w:pPr>
        <w:tabs>
          <w:tab w:val="left" w:pos="7185"/>
        </w:tabs>
        <w:rPr>
          <w:rFonts w:cs="Arial"/>
        </w:rPr>
      </w:pPr>
      <w:r w:rsidRPr="00C970CE">
        <w:rPr>
          <w:rFonts w:cs="Arial"/>
        </w:rPr>
        <w:t>We anticipate that there will be additional need and opportunity for future multiple phases in this Pollinator Central corridor.</w:t>
      </w:r>
    </w:p>
    <w:p w:rsidR="008269AA" w:rsidRDefault="008269AA" w:rsidP="008269AA">
      <w:pPr>
        <w:tabs>
          <w:tab w:val="left" w:pos="7185"/>
        </w:tabs>
        <w:rPr>
          <w:rFonts w:cs="Arial"/>
          <w:b/>
        </w:rPr>
      </w:pPr>
    </w:p>
    <w:p w:rsidR="008269AA" w:rsidRDefault="008269AA" w:rsidP="008269AA">
      <w:pPr>
        <w:tabs>
          <w:tab w:val="left" w:pos="7185"/>
        </w:tabs>
        <w:rPr>
          <w:rFonts w:cs="Arial"/>
          <w:b/>
        </w:rPr>
      </w:pPr>
      <w:r w:rsidRPr="00C970CE">
        <w:rPr>
          <w:rFonts w:cs="Arial"/>
        </w:rPr>
        <w:t>Landowners will commit to long term maintenance of the restoration sites.</w:t>
      </w:r>
    </w:p>
    <w:p w:rsidR="008269AA" w:rsidRDefault="008269AA" w:rsidP="008269AA">
      <w:pPr>
        <w:tabs>
          <w:tab w:val="left" w:pos="7185"/>
        </w:tabs>
        <w:rPr>
          <w:rFonts w:cs="Arial"/>
          <w:b/>
        </w:rPr>
      </w:pPr>
      <w:r>
        <w:rPr>
          <w:rFonts w:cs="Arial"/>
          <w:b/>
        </w:rPr>
        <w:tab/>
      </w:r>
    </w:p>
    <w:sectPr w:rsidR="008269AA"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E4" w:rsidRDefault="004A4BE4" w:rsidP="00533120">
      <w:r>
        <w:separator/>
      </w:r>
    </w:p>
  </w:endnote>
  <w:endnote w:type="continuationSeparator" w:id="0">
    <w:p w:rsidR="004A4BE4" w:rsidRDefault="004A4B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pPr>
      <w:pStyle w:val="Footer"/>
      <w:jc w:val="center"/>
    </w:pPr>
    <w:r>
      <w:fldChar w:fldCharType="begin"/>
    </w:r>
    <w:r>
      <w:instrText xml:space="preserve"> PAGE   \* MERGEFORMAT </w:instrText>
    </w:r>
    <w:r>
      <w:fldChar w:fldCharType="separate"/>
    </w:r>
    <w:r w:rsidR="005F72F4">
      <w:rPr>
        <w:noProof/>
      </w:rPr>
      <w:t>1</w:t>
    </w:r>
    <w:r>
      <w:fldChar w:fldCharType="end"/>
    </w:r>
  </w:p>
  <w:p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E4" w:rsidRDefault="004A4BE4" w:rsidP="00533120">
      <w:r>
        <w:separator/>
      </w:r>
    </w:p>
  </w:footnote>
  <w:footnote w:type="continuationSeparator" w:id="0">
    <w:p w:rsidR="004A4BE4" w:rsidRDefault="004A4BE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9C" w:rsidRDefault="00404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039"/>
    <w:rsid w:val="00016A81"/>
    <w:rsid w:val="00020FA1"/>
    <w:rsid w:val="00061EF5"/>
    <w:rsid w:val="00062497"/>
    <w:rsid w:val="00065366"/>
    <w:rsid w:val="00073C96"/>
    <w:rsid w:val="000B34BA"/>
    <w:rsid w:val="000C3EF3"/>
    <w:rsid w:val="000D7F31"/>
    <w:rsid w:val="00100A34"/>
    <w:rsid w:val="00107495"/>
    <w:rsid w:val="001225BC"/>
    <w:rsid w:val="00134080"/>
    <w:rsid w:val="00165716"/>
    <w:rsid w:val="0018005E"/>
    <w:rsid w:val="00186FCC"/>
    <w:rsid w:val="00197ECE"/>
    <w:rsid w:val="001B0368"/>
    <w:rsid w:val="001D556F"/>
    <w:rsid w:val="001E42AC"/>
    <w:rsid w:val="00206FAB"/>
    <w:rsid w:val="002159DD"/>
    <w:rsid w:val="00217C2A"/>
    <w:rsid w:val="00243B0F"/>
    <w:rsid w:val="0027526B"/>
    <w:rsid w:val="00290E4E"/>
    <w:rsid w:val="0029726A"/>
    <w:rsid w:val="002B416E"/>
    <w:rsid w:val="002B469A"/>
    <w:rsid w:val="002E7774"/>
    <w:rsid w:val="003205A7"/>
    <w:rsid w:val="003239FE"/>
    <w:rsid w:val="00334BF6"/>
    <w:rsid w:val="00347E7A"/>
    <w:rsid w:val="00351EA6"/>
    <w:rsid w:val="00354888"/>
    <w:rsid w:val="003578A0"/>
    <w:rsid w:val="0037310D"/>
    <w:rsid w:val="003931FC"/>
    <w:rsid w:val="0039481E"/>
    <w:rsid w:val="003F32CA"/>
    <w:rsid w:val="00404B9C"/>
    <w:rsid w:val="004357AE"/>
    <w:rsid w:val="004530F7"/>
    <w:rsid w:val="00454495"/>
    <w:rsid w:val="00487D08"/>
    <w:rsid w:val="0049103C"/>
    <w:rsid w:val="00493A11"/>
    <w:rsid w:val="004A43B9"/>
    <w:rsid w:val="004A4BE4"/>
    <w:rsid w:val="004E6113"/>
    <w:rsid w:val="00533120"/>
    <w:rsid w:val="005431D4"/>
    <w:rsid w:val="00550526"/>
    <w:rsid w:val="00550B29"/>
    <w:rsid w:val="005648A9"/>
    <w:rsid w:val="005A1D00"/>
    <w:rsid w:val="005A4FB1"/>
    <w:rsid w:val="005C3BD9"/>
    <w:rsid w:val="005F0DBA"/>
    <w:rsid w:val="005F1006"/>
    <w:rsid w:val="005F7237"/>
    <w:rsid w:val="005F72F4"/>
    <w:rsid w:val="00602068"/>
    <w:rsid w:val="00614DF2"/>
    <w:rsid w:val="00640A9A"/>
    <w:rsid w:val="006562F0"/>
    <w:rsid w:val="00686B53"/>
    <w:rsid w:val="006C7E7E"/>
    <w:rsid w:val="006E0EFD"/>
    <w:rsid w:val="006F7F24"/>
    <w:rsid w:val="0071757C"/>
    <w:rsid w:val="00721661"/>
    <w:rsid w:val="00731A65"/>
    <w:rsid w:val="007707F8"/>
    <w:rsid w:val="007936A9"/>
    <w:rsid w:val="007B284F"/>
    <w:rsid w:val="007B3535"/>
    <w:rsid w:val="007C085C"/>
    <w:rsid w:val="00806460"/>
    <w:rsid w:val="008076FB"/>
    <w:rsid w:val="008269AA"/>
    <w:rsid w:val="008949EE"/>
    <w:rsid w:val="008A088E"/>
    <w:rsid w:val="008A4498"/>
    <w:rsid w:val="008A5FD9"/>
    <w:rsid w:val="008D2242"/>
    <w:rsid w:val="00910DB8"/>
    <w:rsid w:val="00912C65"/>
    <w:rsid w:val="0092797D"/>
    <w:rsid w:val="009541C4"/>
    <w:rsid w:val="0099581F"/>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B728BF"/>
    <w:rsid w:val="00B8369A"/>
    <w:rsid w:val="00B86A22"/>
    <w:rsid w:val="00B970EA"/>
    <w:rsid w:val="00BA242D"/>
    <w:rsid w:val="00BA3E4A"/>
    <w:rsid w:val="00BC28A6"/>
    <w:rsid w:val="00C02DAD"/>
    <w:rsid w:val="00C660F0"/>
    <w:rsid w:val="00C72BD9"/>
    <w:rsid w:val="00C82CD3"/>
    <w:rsid w:val="00C85E92"/>
    <w:rsid w:val="00C952E4"/>
    <w:rsid w:val="00C96990"/>
    <w:rsid w:val="00C970CE"/>
    <w:rsid w:val="00CB652D"/>
    <w:rsid w:val="00CE20AC"/>
    <w:rsid w:val="00CF3C9F"/>
    <w:rsid w:val="00D02E23"/>
    <w:rsid w:val="00D121DD"/>
    <w:rsid w:val="00D25619"/>
    <w:rsid w:val="00D32524"/>
    <w:rsid w:val="00D32CFB"/>
    <w:rsid w:val="00DA2112"/>
    <w:rsid w:val="00E47145"/>
    <w:rsid w:val="00E5279E"/>
    <w:rsid w:val="00E619C4"/>
    <w:rsid w:val="00E76D57"/>
    <w:rsid w:val="00EA4764"/>
    <w:rsid w:val="00EB5831"/>
    <w:rsid w:val="00F02DE9"/>
    <w:rsid w:val="00F30623"/>
    <w:rsid w:val="00F42507"/>
    <w:rsid w:val="00F51DE2"/>
    <w:rsid w:val="00F70DE4"/>
    <w:rsid w:val="00F9232B"/>
    <w:rsid w:val="00F92864"/>
    <w:rsid w:val="00F96203"/>
    <w:rsid w:val="00F97C94"/>
    <w:rsid w:val="00FA0C05"/>
    <w:rsid w:val="00FF1689"/>
    <w:rsid w:val="00FF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Revision">
    <w:name w:val="Revision"/>
    <w:hidden/>
    <w:uiPriority w:val="99"/>
    <w:semiHidden/>
    <w:rsid w:val="00F30623"/>
    <w:rPr>
      <w:sz w:val="22"/>
      <w:szCs w:val="22"/>
    </w:rPr>
  </w:style>
  <w:style w:type="character" w:customStyle="1" w:styleId="normaltextrun">
    <w:name w:val="normaltextrun"/>
    <w:basedOn w:val="DefaultParagraphFont"/>
    <w:rsid w:val="003931FC"/>
  </w:style>
  <w:style w:type="paragraph" w:customStyle="1" w:styleId="xmsonormal">
    <w:name w:val="x_msonormal"/>
    <w:basedOn w:val="Normal"/>
    <w:rsid w:val="00BA242D"/>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02935581">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92B9-A290-4978-80AC-A8921F17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wbuck</cp:lastModifiedBy>
  <cp:revision>4</cp:revision>
  <cp:lastPrinted>2018-11-29T16:36:00Z</cp:lastPrinted>
  <dcterms:created xsi:type="dcterms:W3CDTF">2019-04-15T20:40:00Z</dcterms:created>
  <dcterms:modified xsi:type="dcterms:W3CDTF">2019-04-15T20:57:00Z</dcterms:modified>
</cp:coreProperties>
</file>