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B1" w:rsidRDefault="005A4FB1" w:rsidP="005A4FB1">
      <w:pPr>
        <w:jc w:val="center"/>
        <w:rPr>
          <w:rFonts w:cs="Arial"/>
          <w:i/>
        </w:rPr>
      </w:pPr>
    </w:p>
    <w:p w:rsidR="006E0EFD" w:rsidRDefault="006E0EFD" w:rsidP="006E0EFD">
      <w:pPr>
        <w:rPr>
          <w:rFonts w:cs="Arial"/>
          <w:i/>
        </w:rPr>
      </w:pPr>
      <w:r w:rsidRPr="009D6EC8">
        <w:rPr>
          <w:rFonts w:cs="Arial"/>
          <w:b/>
        </w:rPr>
        <w:t>PROJECT TITLE:</w:t>
      </w:r>
      <w:r w:rsidR="00EC32B5">
        <w:rPr>
          <w:rFonts w:cs="Arial"/>
          <w:b/>
        </w:rPr>
        <w:t xml:space="preserve"> </w:t>
      </w:r>
      <w:r w:rsidR="00EC32B5" w:rsidRPr="00EC32B5">
        <w:rPr>
          <w:rFonts w:cs="Arial"/>
          <w:b/>
        </w:rPr>
        <w:t>Pilot Scale Crematorium Mercury Filter</w:t>
      </w:r>
    </w:p>
    <w:p w:rsidR="001A2178" w:rsidRPr="001A2178" w:rsidRDefault="001A2178" w:rsidP="006E0EFD">
      <w:pPr>
        <w:rPr>
          <w:rFonts w:cs="Arial"/>
          <w:i/>
        </w:rPr>
      </w:pPr>
    </w:p>
    <w:p w:rsidR="006E0EFD" w:rsidRDefault="006E0EFD" w:rsidP="006E0EFD">
      <w:pPr>
        <w:rPr>
          <w:rFonts w:cs="Arial"/>
          <w:b/>
        </w:rPr>
      </w:pPr>
      <w:r w:rsidRPr="009D6EC8">
        <w:rPr>
          <w:rFonts w:cs="Arial"/>
          <w:b/>
        </w:rPr>
        <w:t>I. PROJECT STATEMENT</w:t>
      </w:r>
    </w:p>
    <w:p w:rsidR="00B36D9B" w:rsidRDefault="00EC32B5" w:rsidP="00EC32B5">
      <w:r>
        <w:t xml:space="preserve">This project will develop a pilot-scale system that captures mercury from crematorium exhaust.  Cremation in Minnesota puts 95 pounds of mercury from dental </w:t>
      </w:r>
      <w:r w:rsidR="00CF15AB">
        <w:t>amalgam into the air each year—</w:t>
      </w:r>
      <w:r>
        <w:t>accounting for 4% of mercury release statewide in 2014</w:t>
      </w:r>
      <w:r w:rsidR="003118C9">
        <w:t>—and the number of cremations is rising</w:t>
      </w:r>
      <w:r>
        <w:t>.  Technology to reduce mercury emissions from crematoria is crucial to meet the Minnesota Pollution Control Agency’s target mercury emissions limit of 789 lb/year by 2025</w:t>
      </w:r>
      <w:r w:rsidR="009324A6">
        <w:t>; without it, cremations will account for &gt;10% of the state’s annual mercury budget</w:t>
      </w:r>
      <w:r>
        <w:t xml:space="preserve">.  </w:t>
      </w:r>
    </w:p>
    <w:p w:rsidR="00EC32B5" w:rsidRDefault="00EC32B5" w:rsidP="00B25EF3">
      <w:pPr>
        <w:ind w:firstLine="720"/>
      </w:pPr>
      <w:r>
        <w:t xml:space="preserve">In this project we will install a </w:t>
      </w:r>
      <w:r w:rsidR="00B36D9B">
        <w:t>cremation chamber</w:t>
      </w:r>
      <w:r>
        <w:t xml:space="preserve"> </w:t>
      </w:r>
      <w:r w:rsidR="00B36D9B">
        <w:t>(</w:t>
      </w:r>
      <w:r>
        <w:t>retort</w:t>
      </w:r>
      <w:r w:rsidR="00B36D9B">
        <w:t>) suitable for cremating dogs or other pets</w:t>
      </w:r>
      <w:r w:rsidR="00CF15AB">
        <w:t xml:space="preserve"> weighing</w:t>
      </w:r>
      <w:r w:rsidR="00B36D9B">
        <w:t xml:space="preserve"> up to 200</w:t>
      </w:r>
      <w:r w:rsidR="00CF15AB">
        <w:t> </w:t>
      </w:r>
      <w:r w:rsidR="00B36D9B">
        <w:t>pounds.  A retort of this size is capable of providing similar temperatures to a full-sized human retort but at a smaller scale for physical size and air flow</w:t>
      </w:r>
      <w:r>
        <w:t xml:space="preserve">.  A custom </w:t>
      </w:r>
      <w:r w:rsidR="00B36D9B">
        <w:t xml:space="preserve">exhaust </w:t>
      </w:r>
      <w:r>
        <w:t xml:space="preserve">stack with extra instrumentation (temperature, pressure, flow rate) capable of holding a replaceable ceramic mercury-sequestering filter (e.g. coated with selenium) will be designed and installed.  Once built, several types of ceramic support and filter packages that seem promising </w:t>
      </w:r>
      <w:r w:rsidR="00CE78EF">
        <w:t>from lab-scale testing</w:t>
      </w:r>
      <w:r>
        <w:t xml:space="preserve"> will be tested in the pilot-scale system and evaluated on their efficacy, life expectancy, and ease of use.</w:t>
      </w:r>
      <w:r w:rsidR="00CE78EF">
        <w:t xml:space="preserve">  </w:t>
      </w:r>
    </w:p>
    <w:p w:rsidR="008751EF" w:rsidRDefault="008751EF" w:rsidP="00B25EF3">
      <w:pPr>
        <w:ind w:firstLine="720"/>
      </w:pPr>
      <w:r>
        <w:t xml:space="preserve">Initial proof-of-concept testing on materials for mercury removal has been performed, and further development is the subject of a pending National Science Foundation Small Business Innovation Research grant.  </w:t>
      </w:r>
      <w:r w:rsidR="00E76D8E">
        <w:t xml:space="preserve">We are working to </w:t>
      </w:r>
      <w:r w:rsidR="002C2998">
        <w:t>further refine</w:t>
      </w:r>
      <w:r w:rsidR="00E76D8E">
        <w:t xml:space="preserve"> the </w:t>
      </w:r>
      <w:r w:rsidR="002C2998">
        <w:t>chemistry,</w:t>
      </w:r>
      <w:r w:rsidR="00E76D8E">
        <w:t xml:space="preserve"> material science</w:t>
      </w:r>
      <w:r w:rsidR="002C2998">
        <w:t>, and fabrication</w:t>
      </w:r>
      <w:r w:rsidR="00E76D8E">
        <w:t xml:space="preserve"> portion of the technology by mid-2020.</w:t>
      </w:r>
    </w:p>
    <w:p w:rsidR="00EC32B5" w:rsidRDefault="00EC32B5" w:rsidP="00B25EF3">
      <w:pPr>
        <w:ind w:firstLine="720"/>
      </w:pPr>
      <w:r>
        <w:t xml:space="preserve">While existing technologies used in coal-fired power plants are available </w:t>
      </w:r>
      <w:r w:rsidR="00550A1E">
        <w:t xml:space="preserve">today </w:t>
      </w:r>
      <w:r>
        <w:t>for use in crematorium retorts, the systems are very expensive ($250K – 500K) and take up 100-200 square feet of space next to the retort.  The Mertron design aims to meet demand for a lower-cost, smaller-footprint mercury abatement solution that could be put into operation at smaller crematoria across the state.</w:t>
      </w:r>
    </w:p>
    <w:p w:rsidR="00B90430" w:rsidRPr="001A7BFD" w:rsidRDefault="00EC32B5" w:rsidP="00B90430">
      <w:pPr>
        <w:ind w:firstLine="720"/>
      </w:pPr>
      <w:r>
        <w:t>Mercury amalgam dental fillings are substantially cheaper than ceramic fillings, and are still widely used in American dentistry.  With so many amalgam fillings in place and still being installed, the average per capita mercury load in teeth is unlikely to reduce much in the coming decades.  While removing the teeth or fillings prior to cremation may seem like an obvious solution, rigor mortis, embalming, and other considerations such as possible mutilation of bodies make this impractical or illegal.  Filtering the exhaust from the cremation retort is likely the simplest, most effective way to reduce m</w:t>
      </w:r>
      <w:r w:rsidR="00B90430">
        <w:t>ercury emissions from cremation.</w:t>
      </w:r>
    </w:p>
    <w:p w:rsidR="00C02DAD" w:rsidRDefault="00C02DAD" w:rsidP="006E0EFD">
      <w:pPr>
        <w:rPr>
          <w:rFonts w:cs="Arial"/>
          <w:b/>
        </w:rPr>
      </w:pPr>
    </w:p>
    <w:p w:rsidR="001A2178" w:rsidRDefault="001A2178" w:rsidP="006E0EFD">
      <w:pPr>
        <w:rPr>
          <w:rFonts w:cs="Arial"/>
          <w:b/>
        </w:rPr>
      </w:pPr>
    </w:p>
    <w:p w:rsidR="006E0EFD" w:rsidRPr="001A7BFD"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tblPr>
      <w:tblGrid>
        <w:gridCol w:w="10240"/>
        <w:gridCol w:w="236"/>
      </w:tblGrid>
      <w:tr w:rsidR="00686B53" w:rsidRPr="00EB5831" w:rsidTr="00D06EA7">
        <w:tc>
          <w:tcPr>
            <w:tcW w:w="10240" w:type="dxa"/>
          </w:tcPr>
          <w:p w:rsidR="008A5FD9" w:rsidRDefault="00686B53" w:rsidP="00217C2A">
            <w:pPr>
              <w:widowControl w:val="0"/>
              <w:rPr>
                <w:rFonts w:cs="Arial"/>
                <w:b/>
              </w:rPr>
            </w:pPr>
            <w:r w:rsidRPr="00EB5831">
              <w:rPr>
                <w:rFonts w:cs="Arial"/>
                <w:b/>
              </w:rPr>
              <w:t>Activity 1:</w:t>
            </w:r>
            <w:r w:rsidR="00EC32B5">
              <w:rPr>
                <w:rFonts w:cs="Arial"/>
                <w:b/>
              </w:rPr>
              <w:t xml:space="preserve"> Install a custom, pet-sized retort</w:t>
            </w:r>
          </w:p>
          <w:p w:rsidR="00EC32B5" w:rsidRDefault="00EC32B5" w:rsidP="00EC32B5">
            <w:r>
              <w:t>Install a new</w:t>
            </w:r>
            <w:r w:rsidR="00CF15AB">
              <w:t xml:space="preserve"> cremation chamber (</w:t>
            </w:r>
            <w:r>
              <w:t>retort</w:t>
            </w:r>
            <w:r w:rsidR="00CF15AB">
              <w:t>) for pets weighing up to 200 pounds</w:t>
            </w:r>
            <w:r>
              <w:t xml:space="preserve"> at an existing crematorium partner</w:t>
            </w:r>
            <w:r w:rsidR="00D06EA7">
              <w:t>’s facility</w:t>
            </w:r>
            <w:r>
              <w:t xml:space="preserve"> in the greater Twin Cities area, yielding a smaller-scale installation</w:t>
            </w:r>
            <w:r w:rsidR="00CF15AB">
              <w:t xml:space="preserve"> than a full human-sized retort.  </w:t>
            </w:r>
            <w:r w:rsidR="00B25EF3">
              <w:t>Using a</w:t>
            </w:r>
            <w:r w:rsidR="00CF15AB">
              <w:t xml:space="preserve"> new</w:t>
            </w:r>
            <w:r w:rsidR="00B25EF3">
              <w:t xml:space="preserve"> retort makes provides better access to the stack for modifications, and </w:t>
            </w:r>
            <w:r>
              <w:t>does not have prior contamination from mercury or other substances.  The stack will be customized to hold test filter materials, as well as temperature, flow</w:t>
            </w:r>
            <w:r w:rsidR="001A2178">
              <w:t xml:space="preserve"> rate, and pressure sensors/</w:t>
            </w:r>
            <w:r>
              <w:t xml:space="preserve">controls.  </w:t>
            </w:r>
            <w:r w:rsidR="00CF15AB">
              <w:t xml:space="preserve">Upon </w:t>
            </w:r>
            <w:r>
              <w:t>completion of all product development activities, the retort will be sold to the crematorium partner and the proceeds returned to the ENRTF.</w:t>
            </w:r>
          </w:p>
          <w:p w:rsidR="005431D4" w:rsidRDefault="005431D4" w:rsidP="005431D4">
            <w:pPr>
              <w:autoSpaceDE w:val="0"/>
              <w:autoSpaceDN w:val="0"/>
              <w:adjustRightInd w:val="0"/>
              <w:rPr>
                <w:rFonts w:cs="Arial"/>
                <w:b/>
                <w:bCs/>
                <w:color w:val="000000"/>
              </w:rPr>
            </w:pPr>
          </w:p>
          <w:p w:rsidR="005431D4" w:rsidRPr="001A7BFD" w:rsidRDefault="005431D4" w:rsidP="005A4FB1">
            <w:pPr>
              <w:autoSpaceDE w:val="0"/>
              <w:autoSpaceDN w:val="0"/>
              <w:adjustRightInd w:val="0"/>
              <w:rPr>
                <w:rFonts w:cs="Arial"/>
                <w:b/>
                <w:bCs/>
                <w:color w:val="000000"/>
              </w:rPr>
            </w:pPr>
            <w:r>
              <w:rPr>
                <w:rFonts w:cs="Arial"/>
                <w:b/>
                <w:bCs/>
                <w:color w:val="000000"/>
              </w:rPr>
              <w:t>ENRTF BUDGET: $</w:t>
            </w:r>
            <w:r w:rsidR="00EC32B5">
              <w:rPr>
                <w:rFonts w:cs="Arial"/>
                <w:b/>
                <w:bCs/>
                <w:color w:val="000000"/>
              </w:rPr>
              <w:t>460,000</w:t>
            </w:r>
          </w:p>
        </w:tc>
        <w:tc>
          <w:tcPr>
            <w:tcW w:w="236" w:type="dxa"/>
          </w:tcPr>
          <w:p w:rsidR="00686B53" w:rsidRPr="00EB5831" w:rsidRDefault="00686B53" w:rsidP="00351EA6">
            <w:pPr>
              <w:rPr>
                <w:rFonts w:cs="Arial"/>
              </w:rPr>
            </w:pPr>
          </w:p>
        </w:tc>
      </w:tr>
    </w:tbl>
    <w:p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gridCol w:w="2790"/>
      </w:tblGrid>
      <w:tr w:rsidR="006E0EFD" w:rsidRPr="009D6EC8" w:rsidTr="00EC32B5">
        <w:tc>
          <w:tcPr>
            <w:tcW w:w="7488" w:type="dxa"/>
          </w:tcPr>
          <w:p w:rsidR="006E0EFD" w:rsidRPr="009D6EC8" w:rsidRDefault="00A13F26" w:rsidP="006E0EFD">
            <w:pPr>
              <w:rPr>
                <w:rFonts w:cs="Arial"/>
                <w:b/>
              </w:rPr>
            </w:pPr>
            <w:r w:rsidRPr="009D6EC8">
              <w:rPr>
                <w:rFonts w:cs="Arial"/>
                <w:b/>
              </w:rPr>
              <w:t>Outcome</w:t>
            </w:r>
          </w:p>
        </w:tc>
        <w:tc>
          <w:tcPr>
            <w:tcW w:w="2790" w:type="dxa"/>
          </w:tcPr>
          <w:p w:rsidR="006E0EFD" w:rsidRPr="009D6EC8" w:rsidRDefault="006E0EFD" w:rsidP="005F7237">
            <w:pPr>
              <w:jc w:val="center"/>
              <w:rPr>
                <w:rFonts w:cs="Arial"/>
                <w:b/>
              </w:rPr>
            </w:pPr>
            <w:r w:rsidRPr="009D6EC8">
              <w:rPr>
                <w:rFonts w:cs="Arial"/>
                <w:b/>
              </w:rPr>
              <w:t>Completion Date</w:t>
            </w:r>
          </w:p>
        </w:tc>
      </w:tr>
      <w:tr w:rsidR="00EC32B5" w:rsidRPr="009D6EC8" w:rsidTr="00EC32B5">
        <w:tc>
          <w:tcPr>
            <w:tcW w:w="7488" w:type="dxa"/>
          </w:tcPr>
          <w:p w:rsidR="00EC32B5" w:rsidRDefault="00EC32B5" w:rsidP="00BD7151">
            <w:r>
              <w:t>Installation of retort</w:t>
            </w:r>
          </w:p>
        </w:tc>
        <w:tc>
          <w:tcPr>
            <w:tcW w:w="2790" w:type="dxa"/>
          </w:tcPr>
          <w:p w:rsidR="00EC32B5" w:rsidRDefault="00EC32B5" w:rsidP="00BD7151">
            <w:r>
              <w:t>September 30, 2020</w:t>
            </w:r>
          </w:p>
        </w:tc>
      </w:tr>
      <w:tr w:rsidR="00EC32B5" w:rsidRPr="009D6EC8" w:rsidTr="00EC32B5">
        <w:tc>
          <w:tcPr>
            <w:tcW w:w="7488" w:type="dxa"/>
          </w:tcPr>
          <w:p w:rsidR="00EC32B5" w:rsidRDefault="00EC32B5" w:rsidP="00BD7151">
            <w:r>
              <w:t>Physical stack customization to hold filter</w:t>
            </w:r>
          </w:p>
        </w:tc>
        <w:tc>
          <w:tcPr>
            <w:tcW w:w="2790" w:type="dxa"/>
          </w:tcPr>
          <w:p w:rsidR="00EC32B5" w:rsidRDefault="00EC32B5" w:rsidP="00BD7151">
            <w:r>
              <w:t>June 30, 2021</w:t>
            </w:r>
          </w:p>
        </w:tc>
      </w:tr>
      <w:tr w:rsidR="00EC32B5" w:rsidRPr="009D6EC8" w:rsidTr="00EC32B5">
        <w:tc>
          <w:tcPr>
            <w:tcW w:w="7488" w:type="dxa"/>
          </w:tcPr>
          <w:p w:rsidR="00EC32B5" w:rsidRDefault="00EC32B5" w:rsidP="00BD7151">
            <w:r>
              <w:t>Instrumentation/Controls for stack installed</w:t>
            </w:r>
          </w:p>
        </w:tc>
        <w:tc>
          <w:tcPr>
            <w:tcW w:w="2790" w:type="dxa"/>
          </w:tcPr>
          <w:p w:rsidR="00EC32B5" w:rsidRDefault="00EC32B5" w:rsidP="00BD7151">
            <w:r>
              <w:t>September 30, 2021</w:t>
            </w:r>
          </w:p>
        </w:tc>
      </w:tr>
    </w:tbl>
    <w:p w:rsidR="00C02DAD" w:rsidRDefault="00C02DAD" w:rsidP="005431D4">
      <w:pPr>
        <w:tabs>
          <w:tab w:val="left" w:pos="540"/>
        </w:tabs>
        <w:autoSpaceDE w:val="0"/>
        <w:autoSpaceDN w:val="0"/>
        <w:adjustRightInd w:val="0"/>
        <w:rPr>
          <w:rFonts w:cs="Arial"/>
          <w:i/>
        </w:rPr>
      </w:pPr>
    </w:p>
    <w:tbl>
      <w:tblPr>
        <w:tblW w:w="10476" w:type="dxa"/>
        <w:tblLook w:val="04A0"/>
      </w:tblPr>
      <w:tblGrid>
        <w:gridCol w:w="7488"/>
        <w:gridCol w:w="2752"/>
        <w:gridCol w:w="38"/>
        <w:gridCol w:w="198"/>
      </w:tblGrid>
      <w:tr w:rsidR="004E3818" w:rsidRPr="00EB5831" w:rsidTr="001A7BFD">
        <w:tc>
          <w:tcPr>
            <w:tcW w:w="10240" w:type="dxa"/>
            <w:gridSpan w:val="2"/>
          </w:tcPr>
          <w:p w:rsidR="004E3818" w:rsidRDefault="004E3818" w:rsidP="00BD7151">
            <w:pPr>
              <w:widowControl w:val="0"/>
              <w:rPr>
                <w:rFonts w:cs="Arial"/>
                <w:b/>
              </w:rPr>
            </w:pPr>
            <w:r w:rsidRPr="00EB5831">
              <w:rPr>
                <w:rFonts w:cs="Arial"/>
                <w:b/>
              </w:rPr>
              <w:t xml:space="preserve">Activity </w:t>
            </w:r>
            <w:r>
              <w:rPr>
                <w:rFonts w:cs="Arial"/>
                <w:b/>
              </w:rPr>
              <w:t>2: Prepare and test filters</w:t>
            </w:r>
          </w:p>
          <w:p w:rsidR="004E3818" w:rsidRDefault="004E3818" w:rsidP="00BD7151">
            <w:pPr>
              <w:autoSpaceDE w:val="0"/>
              <w:autoSpaceDN w:val="0"/>
              <w:adjustRightInd w:val="0"/>
            </w:pPr>
            <w:r>
              <w:t xml:space="preserve">A Research Assistant will synthesize pilot-scale filters using proprietary Mertron technology alongside facilities and expertise from the Minnesota Nano Center.  These </w:t>
            </w:r>
            <w:r w:rsidR="001A7BFD">
              <w:t>f</w:t>
            </w:r>
            <w:r>
              <w:t>ilters will be tested in the pilot-scale retort and an atomic-absorption spectrometer will measure mercury emissions under no-load and average-load mercury conditions in the retort.  Following testing, samples from the filter will be characterized for mercury adsorption and to determine the level of degradation from use.</w:t>
            </w:r>
          </w:p>
          <w:p w:rsidR="004E3818" w:rsidRDefault="004E3818" w:rsidP="00BD7151">
            <w:pPr>
              <w:autoSpaceDE w:val="0"/>
              <w:autoSpaceDN w:val="0"/>
              <w:adjustRightInd w:val="0"/>
              <w:rPr>
                <w:rFonts w:cs="Arial"/>
                <w:b/>
                <w:bCs/>
                <w:color w:val="000000"/>
              </w:rPr>
            </w:pPr>
          </w:p>
          <w:p w:rsidR="004E3818" w:rsidRDefault="004E3818" w:rsidP="00BD7151">
            <w:pPr>
              <w:autoSpaceDE w:val="0"/>
              <w:autoSpaceDN w:val="0"/>
              <w:adjustRightInd w:val="0"/>
              <w:rPr>
                <w:rFonts w:cs="Arial"/>
                <w:b/>
                <w:bCs/>
                <w:color w:val="000000"/>
              </w:rPr>
            </w:pPr>
            <w:r>
              <w:rPr>
                <w:rFonts w:cs="Arial"/>
                <w:b/>
                <w:bCs/>
                <w:color w:val="000000"/>
              </w:rPr>
              <w:t>ENRTF BUDGET: $112,500</w:t>
            </w:r>
          </w:p>
          <w:p w:rsidR="004E3818" w:rsidRPr="00217C2A" w:rsidRDefault="004E3818" w:rsidP="00BD7151">
            <w:pPr>
              <w:autoSpaceDE w:val="0"/>
              <w:autoSpaceDN w:val="0"/>
              <w:adjustRightInd w:val="0"/>
              <w:rPr>
                <w:sz w:val="18"/>
                <w:szCs w:val="18"/>
              </w:rPr>
            </w:pPr>
          </w:p>
        </w:tc>
        <w:tc>
          <w:tcPr>
            <w:tcW w:w="236" w:type="dxa"/>
            <w:gridSpan w:val="2"/>
          </w:tcPr>
          <w:p w:rsidR="004E3818" w:rsidRPr="00EB5831" w:rsidRDefault="004E3818" w:rsidP="00BD7151">
            <w:pPr>
              <w:rPr>
                <w:rFonts w:cs="Arial"/>
              </w:rPr>
            </w:pPr>
          </w:p>
        </w:tc>
      </w:tr>
      <w:tr w:rsidR="004E3818" w:rsidRPr="009D6EC8" w:rsidTr="001A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7488" w:type="dxa"/>
          </w:tcPr>
          <w:p w:rsidR="004E3818" w:rsidRPr="009D6EC8" w:rsidRDefault="004E3818" w:rsidP="00BD7151">
            <w:pPr>
              <w:rPr>
                <w:rFonts w:cs="Arial"/>
                <w:b/>
              </w:rPr>
            </w:pPr>
            <w:r w:rsidRPr="009D6EC8">
              <w:rPr>
                <w:rFonts w:cs="Arial"/>
                <w:b/>
              </w:rPr>
              <w:t>Outcome</w:t>
            </w:r>
          </w:p>
        </w:tc>
        <w:tc>
          <w:tcPr>
            <w:tcW w:w="2790" w:type="dxa"/>
            <w:gridSpan w:val="2"/>
          </w:tcPr>
          <w:p w:rsidR="004E3818" w:rsidRPr="009D6EC8" w:rsidRDefault="004E3818" w:rsidP="00BD7151">
            <w:pPr>
              <w:jc w:val="center"/>
              <w:rPr>
                <w:rFonts w:cs="Arial"/>
                <w:b/>
              </w:rPr>
            </w:pPr>
            <w:r w:rsidRPr="009D6EC8">
              <w:rPr>
                <w:rFonts w:cs="Arial"/>
                <w:b/>
              </w:rPr>
              <w:t>Completion Date</w:t>
            </w:r>
          </w:p>
        </w:tc>
      </w:tr>
      <w:tr w:rsidR="004E3818" w:rsidRPr="009D6EC8" w:rsidTr="001A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7488" w:type="dxa"/>
          </w:tcPr>
          <w:p w:rsidR="004E3818" w:rsidRDefault="004E3818" w:rsidP="00BD7151">
            <w:r>
              <w:t>Synthesis of filters</w:t>
            </w:r>
          </w:p>
        </w:tc>
        <w:tc>
          <w:tcPr>
            <w:tcW w:w="2790" w:type="dxa"/>
            <w:gridSpan w:val="2"/>
          </w:tcPr>
          <w:p w:rsidR="004E3818" w:rsidRDefault="004E3818" w:rsidP="00BD7151">
            <w:r>
              <w:t>June 30, 2021</w:t>
            </w:r>
          </w:p>
        </w:tc>
      </w:tr>
      <w:tr w:rsidR="004E3818" w:rsidRPr="009D6EC8" w:rsidTr="001A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7488" w:type="dxa"/>
          </w:tcPr>
          <w:p w:rsidR="004E3818" w:rsidRDefault="004E3818" w:rsidP="00BD7151">
            <w:r>
              <w:t>Testing of filters</w:t>
            </w:r>
          </w:p>
        </w:tc>
        <w:tc>
          <w:tcPr>
            <w:tcW w:w="2790" w:type="dxa"/>
            <w:gridSpan w:val="2"/>
          </w:tcPr>
          <w:p w:rsidR="004E3818" w:rsidRDefault="004E3818" w:rsidP="00BD7151">
            <w:r>
              <w:t>December 31, 2021</w:t>
            </w:r>
          </w:p>
        </w:tc>
      </w:tr>
      <w:tr w:rsidR="004E3818" w:rsidRPr="009D6EC8" w:rsidTr="001A7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8" w:type="dxa"/>
        </w:trPr>
        <w:tc>
          <w:tcPr>
            <w:tcW w:w="7488" w:type="dxa"/>
          </w:tcPr>
          <w:p w:rsidR="004E3818" w:rsidRDefault="004E3818" w:rsidP="00BD7151">
            <w:r>
              <w:t>Characterization of filters</w:t>
            </w:r>
          </w:p>
        </w:tc>
        <w:tc>
          <w:tcPr>
            <w:tcW w:w="2790" w:type="dxa"/>
            <w:gridSpan w:val="2"/>
          </w:tcPr>
          <w:p w:rsidR="004E3818" w:rsidRDefault="004E3818" w:rsidP="00BD7151">
            <w:r>
              <w:t>March 31, 2022</w:t>
            </w:r>
          </w:p>
        </w:tc>
      </w:tr>
    </w:tbl>
    <w:p w:rsidR="00C02DAD" w:rsidRDefault="00C02DAD" w:rsidP="005431D4">
      <w:pPr>
        <w:tabs>
          <w:tab w:val="left" w:pos="540"/>
        </w:tabs>
        <w:autoSpaceDE w:val="0"/>
        <w:autoSpaceDN w:val="0"/>
        <w:adjustRightInd w:val="0"/>
        <w:rPr>
          <w:rFonts w:cs="Arial"/>
          <w:i/>
        </w:rPr>
      </w:pPr>
    </w:p>
    <w:p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rsidR="009A4D3C" w:rsidRDefault="009A4D3C" w:rsidP="005431D4">
      <w:pPr>
        <w:tabs>
          <w:tab w:val="left" w:pos="540"/>
        </w:tabs>
        <w:autoSpaceDE w:val="0"/>
        <w:autoSpaceDN w:val="0"/>
        <w:adjustRightInd w:val="0"/>
        <w:rPr>
          <w:rFonts w:cs="Arial"/>
          <w:b/>
          <w:bCs/>
          <w:color w:val="000000"/>
        </w:rPr>
      </w:pPr>
      <w:r>
        <w:rPr>
          <w:rFonts w:cs="Arial"/>
          <w:b/>
          <w:bCs/>
          <w:color w:val="000000"/>
        </w:rPr>
        <w:t>Partners receiving ENRTF funding</w:t>
      </w:r>
    </w:p>
    <w:tbl>
      <w:tblPr>
        <w:tblStyle w:val="TableGrid"/>
        <w:tblW w:w="0" w:type="auto"/>
        <w:tblLook w:val="04A0"/>
      </w:tblPr>
      <w:tblGrid>
        <w:gridCol w:w="2988"/>
        <w:gridCol w:w="2340"/>
        <w:gridCol w:w="3870"/>
        <w:gridCol w:w="1098"/>
      </w:tblGrid>
      <w:tr w:rsidR="009A4D3C" w:rsidTr="00B64D17">
        <w:tc>
          <w:tcPr>
            <w:tcW w:w="2988" w:type="dxa"/>
          </w:tcPr>
          <w:p w:rsidR="009A4D3C" w:rsidRDefault="009A4D3C" w:rsidP="005431D4">
            <w:pPr>
              <w:tabs>
                <w:tab w:val="left" w:pos="540"/>
              </w:tabs>
              <w:autoSpaceDE w:val="0"/>
              <w:autoSpaceDN w:val="0"/>
              <w:adjustRightInd w:val="0"/>
              <w:rPr>
                <w:rFonts w:cs="Arial"/>
                <w:b/>
                <w:bCs/>
                <w:color w:val="000000"/>
              </w:rPr>
            </w:pPr>
            <w:r>
              <w:rPr>
                <w:rFonts w:cs="Arial"/>
                <w:b/>
                <w:bCs/>
                <w:color w:val="000000"/>
              </w:rPr>
              <w:t>Name</w:t>
            </w:r>
          </w:p>
        </w:tc>
        <w:tc>
          <w:tcPr>
            <w:tcW w:w="2340" w:type="dxa"/>
          </w:tcPr>
          <w:p w:rsidR="009A4D3C" w:rsidRDefault="009A4D3C" w:rsidP="005431D4">
            <w:pPr>
              <w:tabs>
                <w:tab w:val="left" w:pos="540"/>
              </w:tabs>
              <w:autoSpaceDE w:val="0"/>
              <w:autoSpaceDN w:val="0"/>
              <w:adjustRightInd w:val="0"/>
              <w:rPr>
                <w:rFonts w:cs="Arial"/>
                <w:b/>
                <w:bCs/>
                <w:color w:val="000000"/>
              </w:rPr>
            </w:pPr>
            <w:r>
              <w:rPr>
                <w:rFonts w:cs="Arial"/>
                <w:b/>
                <w:bCs/>
                <w:color w:val="000000"/>
              </w:rPr>
              <w:t>Title</w:t>
            </w:r>
          </w:p>
        </w:tc>
        <w:tc>
          <w:tcPr>
            <w:tcW w:w="3870" w:type="dxa"/>
          </w:tcPr>
          <w:p w:rsidR="009A4D3C" w:rsidRDefault="009A4D3C" w:rsidP="005431D4">
            <w:pPr>
              <w:tabs>
                <w:tab w:val="left" w:pos="540"/>
              </w:tabs>
              <w:autoSpaceDE w:val="0"/>
              <w:autoSpaceDN w:val="0"/>
              <w:adjustRightInd w:val="0"/>
              <w:rPr>
                <w:rFonts w:cs="Arial"/>
                <w:b/>
                <w:bCs/>
                <w:color w:val="000000"/>
              </w:rPr>
            </w:pPr>
            <w:r>
              <w:rPr>
                <w:rFonts w:cs="Arial"/>
                <w:b/>
                <w:bCs/>
                <w:color w:val="000000"/>
              </w:rPr>
              <w:t>Affiliation</w:t>
            </w:r>
          </w:p>
        </w:tc>
        <w:tc>
          <w:tcPr>
            <w:tcW w:w="1098" w:type="dxa"/>
          </w:tcPr>
          <w:p w:rsidR="009A4D3C" w:rsidRDefault="009A4D3C" w:rsidP="005431D4">
            <w:pPr>
              <w:tabs>
                <w:tab w:val="left" w:pos="540"/>
              </w:tabs>
              <w:autoSpaceDE w:val="0"/>
              <w:autoSpaceDN w:val="0"/>
              <w:adjustRightInd w:val="0"/>
              <w:rPr>
                <w:rFonts w:cs="Arial"/>
                <w:b/>
                <w:bCs/>
                <w:color w:val="000000"/>
              </w:rPr>
            </w:pPr>
            <w:r>
              <w:rPr>
                <w:rFonts w:cs="Arial"/>
                <w:b/>
                <w:bCs/>
                <w:color w:val="000000"/>
              </w:rPr>
              <w:t>Role</w:t>
            </w:r>
          </w:p>
        </w:tc>
      </w:tr>
      <w:tr w:rsidR="00B64D17" w:rsidTr="00B64D17">
        <w:tc>
          <w:tcPr>
            <w:tcW w:w="2988" w:type="dxa"/>
          </w:tcPr>
          <w:p w:rsidR="00B64D17" w:rsidRPr="00B64D17" w:rsidRDefault="00B64D17" w:rsidP="00CB4987">
            <w:pPr>
              <w:tabs>
                <w:tab w:val="left" w:pos="540"/>
              </w:tabs>
              <w:autoSpaceDE w:val="0"/>
              <w:autoSpaceDN w:val="0"/>
              <w:adjustRightInd w:val="0"/>
              <w:rPr>
                <w:rFonts w:cs="Arial"/>
                <w:bCs/>
                <w:color w:val="000000"/>
              </w:rPr>
            </w:pPr>
            <w:r w:rsidRPr="00B64D17">
              <w:rPr>
                <w:rFonts w:cs="Arial"/>
                <w:bCs/>
                <w:color w:val="000000"/>
              </w:rPr>
              <w:t>Dr. James Marti</w:t>
            </w:r>
          </w:p>
        </w:tc>
        <w:tc>
          <w:tcPr>
            <w:tcW w:w="2340" w:type="dxa"/>
          </w:tcPr>
          <w:p w:rsidR="00B64D17" w:rsidRPr="00B64D17" w:rsidRDefault="00B64D17" w:rsidP="00CB4987">
            <w:pPr>
              <w:tabs>
                <w:tab w:val="left" w:pos="540"/>
              </w:tabs>
              <w:autoSpaceDE w:val="0"/>
              <w:autoSpaceDN w:val="0"/>
              <w:adjustRightInd w:val="0"/>
              <w:rPr>
                <w:rFonts w:cs="Arial"/>
                <w:bCs/>
                <w:color w:val="000000"/>
              </w:rPr>
            </w:pPr>
            <w:r w:rsidRPr="00B64D17">
              <w:rPr>
                <w:rFonts w:cs="Arial"/>
                <w:bCs/>
                <w:color w:val="000000"/>
              </w:rPr>
              <w:t>Senior Scientist and Outreach Coordinator</w:t>
            </w:r>
          </w:p>
        </w:tc>
        <w:tc>
          <w:tcPr>
            <w:tcW w:w="3870" w:type="dxa"/>
          </w:tcPr>
          <w:p w:rsidR="00B64D17" w:rsidRPr="00B64D17" w:rsidRDefault="00B64D17" w:rsidP="00CB4987">
            <w:pPr>
              <w:tabs>
                <w:tab w:val="left" w:pos="540"/>
              </w:tabs>
              <w:autoSpaceDE w:val="0"/>
              <w:autoSpaceDN w:val="0"/>
              <w:adjustRightInd w:val="0"/>
              <w:rPr>
                <w:rFonts w:cs="Arial"/>
                <w:bCs/>
                <w:color w:val="000000"/>
              </w:rPr>
            </w:pPr>
            <w:r w:rsidRPr="00B64D17">
              <w:rPr>
                <w:rFonts w:cs="Arial"/>
                <w:bCs/>
                <w:color w:val="000000"/>
              </w:rPr>
              <w:t>Minnesota Nano Center, University of Minnesota</w:t>
            </w:r>
          </w:p>
        </w:tc>
        <w:tc>
          <w:tcPr>
            <w:tcW w:w="1098" w:type="dxa"/>
          </w:tcPr>
          <w:p w:rsidR="00B64D17" w:rsidRPr="00B64D17" w:rsidRDefault="00B64D17" w:rsidP="00CB4987">
            <w:pPr>
              <w:tabs>
                <w:tab w:val="left" w:pos="540"/>
              </w:tabs>
              <w:autoSpaceDE w:val="0"/>
              <w:autoSpaceDN w:val="0"/>
              <w:adjustRightInd w:val="0"/>
              <w:rPr>
                <w:rFonts w:cs="Arial"/>
                <w:bCs/>
                <w:color w:val="000000"/>
              </w:rPr>
            </w:pPr>
            <w:r w:rsidRPr="00B64D17">
              <w:rPr>
                <w:rFonts w:cs="Arial"/>
                <w:bCs/>
                <w:color w:val="000000"/>
              </w:rPr>
              <w:t>Advisor</w:t>
            </w:r>
          </w:p>
        </w:tc>
      </w:tr>
    </w:tbl>
    <w:p w:rsidR="009A4D3C" w:rsidRDefault="009A4D3C" w:rsidP="005431D4">
      <w:pPr>
        <w:tabs>
          <w:tab w:val="left" w:pos="540"/>
        </w:tabs>
        <w:autoSpaceDE w:val="0"/>
        <w:autoSpaceDN w:val="0"/>
        <w:adjustRightInd w:val="0"/>
        <w:rPr>
          <w:rFonts w:cs="Arial"/>
          <w:b/>
          <w:bCs/>
          <w:color w:val="000000"/>
        </w:rPr>
      </w:pPr>
    </w:p>
    <w:p w:rsidR="009A4D3C" w:rsidRDefault="009A4D3C" w:rsidP="005431D4">
      <w:pPr>
        <w:tabs>
          <w:tab w:val="left" w:pos="540"/>
        </w:tabs>
        <w:autoSpaceDE w:val="0"/>
        <w:autoSpaceDN w:val="0"/>
        <w:adjustRightInd w:val="0"/>
        <w:rPr>
          <w:rFonts w:cs="Arial"/>
          <w:b/>
          <w:bCs/>
          <w:color w:val="000000"/>
        </w:rPr>
      </w:pPr>
      <w:r>
        <w:rPr>
          <w:rFonts w:cs="Arial"/>
          <w:b/>
          <w:bCs/>
          <w:color w:val="000000"/>
        </w:rPr>
        <w:t>Partners not receiving ENRTF funding</w:t>
      </w:r>
    </w:p>
    <w:tbl>
      <w:tblPr>
        <w:tblStyle w:val="TableGrid"/>
        <w:tblW w:w="0" w:type="auto"/>
        <w:tblLook w:val="04A0"/>
      </w:tblPr>
      <w:tblGrid>
        <w:gridCol w:w="2988"/>
        <w:gridCol w:w="2340"/>
        <w:gridCol w:w="3870"/>
        <w:gridCol w:w="1098"/>
      </w:tblGrid>
      <w:tr w:rsidR="00B64D17" w:rsidTr="00B64D17">
        <w:tc>
          <w:tcPr>
            <w:tcW w:w="2988" w:type="dxa"/>
          </w:tcPr>
          <w:p w:rsidR="009A4D3C" w:rsidRDefault="009A4D3C" w:rsidP="00CB4987">
            <w:pPr>
              <w:tabs>
                <w:tab w:val="left" w:pos="540"/>
              </w:tabs>
              <w:autoSpaceDE w:val="0"/>
              <w:autoSpaceDN w:val="0"/>
              <w:adjustRightInd w:val="0"/>
              <w:rPr>
                <w:rFonts w:cs="Arial"/>
                <w:b/>
                <w:bCs/>
                <w:color w:val="000000"/>
              </w:rPr>
            </w:pPr>
            <w:r>
              <w:rPr>
                <w:rFonts w:cs="Arial"/>
                <w:b/>
                <w:bCs/>
                <w:color w:val="000000"/>
              </w:rPr>
              <w:t>Name</w:t>
            </w:r>
          </w:p>
        </w:tc>
        <w:tc>
          <w:tcPr>
            <w:tcW w:w="2340" w:type="dxa"/>
          </w:tcPr>
          <w:p w:rsidR="009A4D3C" w:rsidRDefault="009A4D3C" w:rsidP="00CB4987">
            <w:pPr>
              <w:tabs>
                <w:tab w:val="left" w:pos="540"/>
              </w:tabs>
              <w:autoSpaceDE w:val="0"/>
              <w:autoSpaceDN w:val="0"/>
              <w:adjustRightInd w:val="0"/>
              <w:rPr>
                <w:rFonts w:cs="Arial"/>
                <w:b/>
                <w:bCs/>
                <w:color w:val="000000"/>
              </w:rPr>
            </w:pPr>
            <w:r>
              <w:rPr>
                <w:rFonts w:cs="Arial"/>
                <w:b/>
                <w:bCs/>
                <w:color w:val="000000"/>
              </w:rPr>
              <w:t>Title</w:t>
            </w:r>
          </w:p>
        </w:tc>
        <w:tc>
          <w:tcPr>
            <w:tcW w:w="3870" w:type="dxa"/>
          </w:tcPr>
          <w:p w:rsidR="009A4D3C" w:rsidRDefault="009A4D3C" w:rsidP="00CB4987">
            <w:pPr>
              <w:tabs>
                <w:tab w:val="left" w:pos="540"/>
              </w:tabs>
              <w:autoSpaceDE w:val="0"/>
              <w:autoSpaceDN w:val="0"/>
              <w:adjustRightInd w:val="0"/>
              <w:rPr>
                <w:rFonts w:cs="Arial"/>
                <w:b/>
                <w:bCs/>
                <w:color w:val="000000"/>
              </w:rPr>
            </w:pPr>
            <w:r>
              <w:rPr>
                <w:rFonts w:cs="Arial"/>
                <w:b/>
                <w:bCs/>
                <w:color w:val="000000"/>
              </w:rPr>
              <w:t>Affiliation</w:t>
            </w:r>
          </w:p>
        </w:tc>
        <w:tc>
          <w:tcPr>
            <w:tcW w:w="1098" w:type="dxa"/>
          </w:tcPr>
          <w:p w:rsidR="009A4D3C" w:rsidRDefault="009A4D3C" w:rsidP="00CB4987">
            <w:pPr>
              <w:tabs>
                <w:tab w:val="left" w:pos="540"/>
              </w:tabs>
              <w:autoSpaceDE w:val="0"/>
              <w:autoSpaceDN w:val="0"/>
              <w:adjustRightInd w:val="0"/>
              <w:rPr>
                <w:rFonts w:cs="Arial"/>
                <w:b/>
                <w:bCs/>
                <w:color w:val="000000"/>
              </w:rPr>
            </w:pPr>
            <w:r>
              <w:rPr>
                <w:rFonts w:cs="Arial"/>
                <w:b/>
                <w:bCs/>
                <w:color w:val="000000"/>
              </w:rPr>
              <w:t>Role</w:t>
            </w:r>
          </w:p>
        </w:tc>
      </w:tr>
      <w:tr w:rsidR="009A4D3C" w:rsidTr="00B64D17">
        <w:tc>
          <w:tcPr>
            <w:tcW w:w="2988" w:type="dxa"/>
          </w:tcPr>
          <w:p w:rsidR="009A4D3C" w:rsidRPr="00B64D17" w:rsidRDefault="009A4D3C" w:rsidP="00CB4987">
            <w:pPr>
              <w:tabs>
                <w:tab w:val="left" w:pos="540"/>
              </w:tabs>
              <w:autoSpaceDE w:val="0"/>
              <w:autoSpaceDN w:val="0"/>
              <w:adjustRightInd w:val="0"/>
              <w:rPr>
                <w:rFonts w:cs="Arial"/>
                <w:bCs/>
                <w:color w:val="000000"/>
              </w:rPr>
            </w:pPr>
            <w:r w:rsidRPr="00B64D17">
              <w:rPr>
                <w:rFonts w:cs="Arial"/>
                <w:bCs/>
                <w:color w:val="000000"/>
              </w:rPr>
              <w:t>Dr. David Poerschke</w:t>
            </w:r>
          </w:p>
        </w:tc>
        <w:tc>
          <w:tcPr>
            <w:tcW w:w="2340" w:type="dxa"/>
          </w:tcPr>
          <w:p w:rsidR="009A4D3C" w:rsidRPr="00B64D17" w:rsidRDefault="009A4D3C" w:rsidP="00CB4987">
            <w:pPr>
              <w:tabs>
                <w:tab w:val="left" w:pos="540"/>
              </w:tabs>
              <w:autoSpaceDE w:val="0"/>
              <w:autoSpaceDN w:val="0"/>
              <w:adjustRightInd w:val="0"/>
              <w:rPr>
                <w:rFonts w:cs="Arial"/>
                <w:bCs/>
                <w:color w:val="000000"/>
              </w:rPr>
            </w:pPr>
            <w:r w:rsidRPr="00B64D17">
              <w:rPr>
                <w:rFonts w:cs="Arial"/>
                <w:bCs/>
                <w:color w:val="000000"/>
              </w:rPr>
              <w:t>Assistant Professor</w:t>
            </w:r>
          </w:p>
        </w:tc>
        <w:tc>
          <w:tcPr>
            <w:tcW w:w="3870" w:type="dxa"/>
          </w:tcPr>
          <w:p w:rsidR="009A4D3C" w:rsidRPr="00B64D17" w:rsidRDefault="00B64D17" w:rsidP="00CB4987">
            <w:pPr>
              <w:tabs>
                <w:tab w:val="left" w:pos="540"/>
              </w:tabs>
              <w:autoSpaceDE w:val="0"/>
              <w:autoSpaceDN w:val="0"/>
              <w:adjustRightInd w:val="0"/>
              <w:rPr>
                <w:rFonts w:cs="Arial"/>
                <w:bCs/>
                <w:color w:val="000000"/>
              </w:rPr>
            </w:pPr>
            <w:r>
              <w:rPr>
                <w:rFonts w:cs="Arial"/>
                <w:bCs/>
                <w:color w:val="000000"/>
              </w:rPr>
              <w:t>College of Science and Engineering, University of Minnesota</w:t>
            </w:r>
          </w:p>
        </w:tc>
        <w:tc>
          <w:tcPr>
            <w:tcW w:w="1098" w:type="dxa"/>
          </w:tcPr>
          <w:p w:rsidR="009A4D3C" w:rsidRPr="00B64D17" w:rsidRDefault="00B64D17" w:rsidP="00CB4987">
            <w:pPr>
              <w:tabs>
                <w:tab w:val="left" w:pos="540"/>
              </w:tabs>
              <w:autoSpaceDE w:val="0"/>
              <w:autoSpaceDN w:val="0"/>
              <w:adjustRightInd w:val="0"/>
              <w:rPr>
                <w:rFonts w:cs="Arial"/>
                <w:bCs/>
                <w:color w:val="000000"/>
              </w:rPr>
            </w:pPr>
            <w:r>
              <w:rPr>
                <w:rFonts w:cs="Arial"/>
                <w:bCs/>
                <w:color w:val="000000"/>
              </w:rPr>
              <w:t>Advisor</w:t>
            </w:r>
          </w:p>
        </w:tc>
      </w:tr>
      <w:tr w:rsidR="00B64D17" w:rsidTr="00B64D17">
        <w:tc>
          <w:tcPr>
            <w:tcW w:w="2988" w:type="dxa"/>
          </w:tcPr>
          <w:p w:rsidR="00B64D17" w:rsidRPr="00B64D17" w:rsidRDefault="00B64D17" w:rsidP="00CB4987">
            <w:pPr>
              <w:tabs>
                <w:tab w:val="left" w:pos="540"/>
              </w:tabs>
              <w:autoSpaceDE w:val="0"/>
              <w:autoSpaceDN w:val="0"/>
              <w:adjustRightInd w:val="0"/>
              <w:rPr>
                <w:rFonts w:cs="Arial"/>
                <w:bCs/>
                <w:color w:val="000000"/>
              </w:rPr>
            </w:pPr>
            <w:r>
              <w:rPr>
                <w:rFonts w:cs="Arial"/>
                <w:bCs/>
                <w:color w:val="000000"/>
              </w:rPr>
              <w:t>Dr. Sandra Myers</w:t>
            </w:r>
          </w:p>
        </w:tc>
        <w:tc>
          <w:tcPr>
            <w:tcW w:w="2340" w:type="dxa"/>
          </w:tcPr>
          <w:p w:rsidR="00B64D17" w:rsidRPr="00B64D17" w:rsidRDefault="00B64D17" w:rsidP="00CB4987">
            <w:pPr>
              <w:tabs>
                <w:tab w:val="left" w:pos="540"/>
              </w:tabs>
              <w:autoSpaceDE w:val="0"/>
              <w:autoSpaceDN w:val="0"/>
              <w:adjustRightInd w:val="0"/>
              <w:rPr>
                <w:rFonts w:cs="Arial"/>
                <w:bCs/>
                <w:color w:val="000000"/>
              </w:rPr>
            </w:pPr>
            <w:r>
              <w:rPr>
                <w:rFonts w:cs="Arial"/>
                <w:bCs/>
                <w:color w:val="000000"/>
              </w:rPr>
              <w:t>Associate Professor</w:t>
            </w:r>
          </w:p>
        </w:tc>
        <w:tc>
          <w:tcPr>
            <w:tcW w:w="3870"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University of Minnesota School of Dentistry</w:t>
            </w:r>
          </w:p>
        </w:tc>
        <w:tc>
          <w:tcPr>
            <w:tcW w:w="1098"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Advisor</w:t>
            </w:r>
          </w:p>
        </w:tc>
      </w:tr>
      <w:tr w:rsidR="00B64D17" w:rsidTr="00B64D17">
        <w:tc>
          <w:tcPr>
            <w:tcW w:w="2988"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Tom Williams</w:t>
            </w:r>
          </w:p>
        </w:tc>
        <w:tc>
          <w:tcPr>
            <w:tcW w:w="2340" w:type="dxa"/>
          </w:tcPr>
          <w:p w:rsidR="00B64D17" w:rsidRDefault="0084453C" w:rsidP="00CB4987">
            <w:pPr>
              <w:tabs>
                <w:tab w:val="left" w:pos="540"/>
              </w:tabs>
              <w:autoSpaceDE w:val="0"/>
              <w:autoSpaceDN w:val="0"/>
              <w:adjustRightInd w:val="0"/>
              <w:rPr>
                <w:rFonts w:cs="Arial"/>
                <w:bCs/>
                <w:color w:val="000000"/>
              </w:rPr>
            </w:pPr>
            <w:r>
              <w:rPr>
                <w:rFonts w:cs="Arial"/>
                <w:bCs/>
                <w:color w:val="000000"/>
              </w:rPr>
              <w:t>Funeral industry consultant; CEO</w:t>
            </w:r>
          </w:p>
        </w:tc>
        <w:tc>
          <w:tcPr>
            <w:tcW w:w="3870" w:type="dxa"/>
          </w:tcPr>
          <w:p w:rsidR="0084453C" w:rsidRDefault="0084453C" w:rsidP="00CB4987">
            <w:pPr>
              <w:tabs>
                <w:tab w:val="left" w:pos="540"/>
              </w:tabs>
              <w:autoSpaceDE w:val="0"/>
              <w:autoSpaceDN w:val="0"/>
              <w:adjustRightInd w:val="0"/>
              <w:rPr>
                <w:rFonts w:cs="Arial"/>
                <w:bCs/>
                <w:color w:val="000000"/>
              </w:rPr>
            </w:pPr>
            <w:r>
              <w:rPr>
                <w:rFonts w:cs="Arial"/>
                <w:bCs/>
                <w:color w:val="000000"/>
              </w:rPr>
              <w:t>Independent;</w:t>
            </w:r>
          </w:p>
          <w:p w:rsidR="00B64D17" w:rsidRDefault="0084453C" w:rsidP="00CB4987">
            <w:pPr>
              <w:tabs>
                <w:tab w:val="left" w:pos="540"/>
              </w:tabs>
              <w:autoSpaceDE w:val="0"/>
              <w:autoSpaceDN w:val="0"/>
              <w:adjustRightInd w:val="0"/>
              <w:rPr>
                <w:rFonts w:cs="Arial"/>
                <w:bCs/>
                <w:color w:val="000000"/>
              </w:rPr>
            </w:pPr>
            <w:r>
              <w:rPr>
                <w:rFonts w:cs="Arial"/>
                <w:bCs/>
                <w:color w:val="000000"/>
              </w:rPr>
              <w:t xml:space="preserve"> Mertron, LLC</w:t>
            </w:r>
          </w:p>
        </w:tc>
        <w:tc>
          <w:tcPr>
            <w:tcW w:w="1098"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Advisor</w:t>
            </w:r>
          </w:p>
        </w:tc>
      </w:tr>
      <w:tr w:rsidR="00B64D17" w:rsidTr="00B64D17">
        <w:tc>
          <w:tcPr>
            <w:tcW w:w="2988"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Various partners in the funeral home and cremation industry</w:t>
            </w:r>
          </w:p>
        </w:tc>
        <w:tc>
          <w:tcPr>
            <w:tcW w:w="2340"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Stakeholder experts</w:t>
            </w:r>
          </w:p>
        </w:tc>
        <w:tc>
          <w:tcPr>
            <w:tcW w:w="3870"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Cremation Association of North America</w:t>
            </w:r>
          </w:p>
        </w:tc>
        <w:tc>
          <w:tcPr>
            <w:tcW w:w="1098" w:type="dxa"/>
          </w:tcPr>
          <w:p w:rsidR="00B64D17" w:rsidRDefault="00B64D17" w:rsidP="00CB4987">
            <w:pPr>
              <w:tabs>
                <w:tab w:val="left" w:pos="540"/>
              </w:tabs>
              <w:autoSpaceDE w:val="0"/>
              <w:autoSpaceDN w:val="0"/>
              <w:adjustRightInd w:val="0"/>
              <w:rPr>
                <w:rFonts w:cs="Arial"/>
                <w:bCs/>
                <w:color w:val="000000"/>
              </w:rPr>
            </w:pPr>
            <w:r>
              <w:rPr>
                <w:rFonts w:cs="Arial"/>
                <w:bCs/>
                <w:color w:val="000000"/>
              </w:rPr>
              <w:t>Advisors</w:t>
            </w:r>
          </w:p>
        </w:tc>
      </w:tr>
    </w:tbl>
    <w:p w:rsidR="005431D4" w:rsidRPr="009D6EC8" w:rsidRDefault="005431D4" w:rsidP="006E0EFD">
      <w:pPr>
        <w:rPr>
          <w:rFonts w:cs="Arial"/>
          <w:b/>
        </w:rPr>
      </w:pPr>
    </w:p>
    <w:p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bookmarkStart w:id="0" w:name="_GoBack"/>
      <w:bookmarkEnd w:id="0"/>
      <w:r>
        <w:rPr>
          <w:rFonts w:cs="Arial"/>
          <w:b/>
          <w:bCs/>
          <w:color w:val="000000"/>
        </w:rPr>
        <w:t xml:space="preserve"> IMPLEMENTATION AND FUNDING:</w:t>
      </w:r>
    </w:p>
    <w:p w:rsidR="004E3818" w:rsidRDefault="004E3818" w:rsidP="004E3818">
      <w:r>
        <w:t xml:space="preserve">This work will provide the basis for products that could be installed in crematoria across the state to achieve </w:t>
      </w:r>
      <w:r w:rsidR="00CE78EF">
        <w:t xml:space="preserve">a 5—10% reduction in mercury toward </w:t>
      </w:r>
      <w:r>
        <w:t>the Minnesota Polluti</w:t>
      </w:r>
      <w:r w:rsidR="00CE78EF">
        <w:t>on Control Agency’s 2025</w:t>
      </w:r>
      <w:r>
        <w:t xml:space="preserve"> emissions targets.  Additionally they could be installed at crematoria across the country, and around the world.  Using the knowledge gained from this experiment and others, patents will be sought and the idea commercialized with an effort made to have the technology widely adopted: we all benefit from lower mercury emissions.  Additional private funding is being sought, and will cover items such as the atomic absorption mercury analyzer.  We intend to leverage the relationships formed in this project to begin production of full-scale filter systems that can retrofit onto existing retorts and stacks.</w:t>
      </w:r>
    </w:p>
    <w:p w:rsidR="00C02DAD" w:rsidRDefault="00186FCC" w:rsidP="00186FCC">
      <w:pPr>
        <w:tabs>
          <w:tab w:val="left" w:pos="7185"/>
        </w:tabs>
        <w:rPr>
          <w:rFonts w:cs="Arial"/>
          <w:b/>
        </w:rPr>
      </w:pPr>
      <w:r>
        <w:rPr>
          <w:rFonts w:cs="Arial"/>
          <w:b/>
        </w:rPr>
        <w:tab/>
      </w:r>
    </w:p>
    <w:p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rsidR="00C02DAD" w:rsidRPr="00F53693" w:rsidRDefault="00C02DAD" w:rsidP="00C02DAD">
      <w:pPr>
        <w:tabs>
          <w:tab w:val="left" w:pos="540"/>
        </w:tabs>
        <w:autoSpaceDE w:val="0"/>
        <w:autoSpaceDN w:val="0"/>
        <w:adjustRightInd w:val="0"/>
        <w:rPr>
          <w:rFonts w:cs="Arial"/>
          <w:bCs/>
          <w:i/>
          <w:color w:val="000000"/>
          <w:sz w:val="10"/>
          <w:szCs w:val="10"/>
        </w:rPr>
      </w:pP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rsidR="006E0EFD" w:rsidRPr="009D6EC8" w:rsidRDefault="00CE20AC" w:rsidP="002C2998">
      <w:pPr>
        <w:pStyle w:val="Bodycopy"/>
        <w:spacing w:before="0"/>
        <w:ind w:left="540"/>
        <w:rPr>
          <w:rFonts w:cs="Arial"/>
        </w:rPr>
      </w:pPr>
      <w:r w:rsidRPr="003D21C8">
        <w:rPr>
          <w:rFonts w:ascii="Calibri" w:hAnsi="Calibri" w:cs="Calibri"/>
          <w:b/>
          <w:sz w:val="22"/>
          <w:szCs w:val="22"/>
        </w:rPr>
        <w:t xml:space="preserve">H. </w:t>
      </w:r>
      <w:r w:rsidR="008A5FD9">
        <w:rPr>
          <w:rFonts w:ascii="Calibri" w:hAnsi="Calibri" w:cs="Calibri"/>
          <w:b/>
          <w:sz w:val="22"/>
          <w:szCs w:val="22"/>
        </w:rPr>
        <w:t>Financial Capacity</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72" w:rsidRDefault="00AE6472" w:rsidP="00533120">
      <w:r>
        <w:separator/>
      </w:r>
    </w:p>
  </w:endnote>
  <w:endnote w:type="continuationSeparator" w:id="1">
    <w:p w:rsidR="00AE6472" w:rsidRDefault="00AE6472" w:rsidP="005331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37" w:rsidRDefault="00AA3F2E">
    <w:pPr>
      <w:pStyle w:val="Footer"/>
      <w:jc w:val="center"/>
    </w:pPr>
    <w:r>
      <w:fldChar w:fldCharType="begin"/>
    </w:r>
    <w:r w:rsidR="005F7237">
      <w:instrText xml:space="preserve"> PAGE   \* MERGEFORMAT </w:instrText>
    </w:r>
    <w:r>
      <w:fldChar w:fldCharType="separate"/>
    </w:r>
    <w:r w:rsidR="00550A1E">
      <w:rPr>
        <w:noProof/>
      </w:rPr>
      <w:t>1</w:t>
    </w:r>
    <w:r>
      <w:fldChar w:fldCharType="end"/>
    </w:r>
  </w:p>
  <w:p w:rsidR="005F7237" w:rsidRDefault="005F72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237" w:rsidRDefault="00AA3F2E" w:rsidP="00C72BD9">
    <w:pPr>
      <w:pStyle w:val="Footer"/>
      <w:jc w:val="center"/>
    </w:pPr>
    <w:r>
      <w:fldChar w:fldCharType="begin"/>
    </w:r>
    <w:r w:rsidR="005F7237">
      <w:instrText xml:space="preserve"> PAGE   \* MERGEFORMAT </w:instrText>
    </w:r>
    <w:r>
      <w:fldChar w:fldCharType="separate"/>
    </w:r>
    <w:r w:rsidR="005F7237">
      <w:rPr>
        <w:noProof/>
      </w:rPr>
      <w:t>1</w:t>
    </w:r>
    <w:r>
      <w:fldChar w:fldCharType="end"/>
    </w:r>
  </w:p>
  <w:p w:rsidR="005F7237" w:rsidRDefault="005F72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72" w:rsidRDefault="00AE6472" w:rsidP="00533120">
      <w:r>
        <w:separator/>
      </w:r>
    </w:p>
  </w:footnote>
  <w:footnote w:type="continuationSeparator" w:id="1">
    <w:p w:rsidR="00AE6472" w:rsidRDefault="00AE6472" w:rsidP="005331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pPr>
          <w:r>
            <w:rPr>
              <w:noProof/>
            </w:rPr>
            <w:drawing>
              <wp:inline distT="0" distB="0" distL="0" distR="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rPr>
          </w:pPr>
          <w:r>
            <w:rPr>
              <w:b/>
            </w:rPr>
            <w:t>20</w:t>
          </w:r>
          <w:r w:rsidR="00404B9C">
            <w:rPr>
              <w:b/>
            </w:rPr>
            <w:t>20</w:t>
          </w:r>
          <w:r w:rsidR="005F7237" w:rsidRPr="00EB5831">
            <w:rPr>
              <w:b/>
            </w:rPr>
            <w:t xml:space="preserve"> Main Proposal</w:t>
          </w:r>
        </w:p>
        <w:p w:rsidR="005F7237" w:rsidRPr="00EB5831" w:rsidRDefault="005F7237" w:rsidP="00EB5831">
          <w:pPr>
            <w:pStyle w:val="Header"/>
          </w:pPr>
        </w:p>
      </w:tc>
    </w:tr>
  </w:tbl>
  <w:p w:rsidR="005F7237" w:rsidRPr="00A42E60" w:rsidRDefault="005F7237" w:rsidP="00A42E60">
    <w:pPr>
      <w:pStyle w:val="Heade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1098"/>
      <w:gridCol w:w="8478"/>
    </w:tblGrid>
    <w:tr w:rsidR="005F7237" w:rsidTr="00C660F0">
      <w:tc>
        <w:tcPr>
          <w:tcW w:w="1098" w:type="dxa"/>
        </w:tcPr>
        <w:p w:rsidR="005F7237" w:rsidRPr="00EB5831" w:rsidRDefault="009541C4"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rPr>
          </w:pPr>
          <w:r w:rsidRPr="00EB5831">
            <w:rPr>
              <w:b/>
            </w:rPr>
            <w:t>2014 Main Proposal</w:t>
          </w:r>
        </w:p>
        <w:p w:rsidR="005F7237" w:rsidRPr="00EB5831" w:rsidRDefault="005F7237" w:rsidP="00806460">
          <w:pPr>
            <w:pStyle w:val="Header"/>
          </w:pPr>
          <w:r w:rsidRPr="00EB5831">
            <w:rPr>
              <w:b/>
            </w:rPr>
            <w:t xml:space="preserve">Project Title: </w:t>
          </w:r>
          <w:r w:rsidRPr="00EB5831">
            <w:rPr>
              <w:i/>
            </w:rPr>
            <w:t>[Insert “Project Title” here in document header]</w:t>
          </w:r>
        </w:p>
      </w:tc>
    </w:tr>
  </w:tbl>
  <w:p w:rsidR="005F7237" w:rsidRPr="00F96203" w:rsidRDefault="005F7237">
    <w:pPr>
      <w:pStyle w:val="Header"/>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5538"/>
  </w:hdrShapeDefaults>
  <w:footnotePr>
    <w:footnote w:id="0"/>
    <w:footnote w:id="1"/>
  </w:footnotePr>
  <w:endnotePr>
    <w:endnote w:id="0"/>
    <w:endnote w:id="1"/>
  </w:endnotePr>
  <w:compat/>
  <w:rsids>
    <w:rsidRoot w:val="006E0EFD"/>
    <w:rsid w:val="00020FA1"/>
    <w:rsid w:val="00061EF5"/>
    <w:rsid w:val="00062497"/>
    <w:rsid w:val="00065366"/>
    <w:rsid w:val="00073C96"/>
    <w:rsid w:val="000B34BA"/>
    <w:rsid w:val="000C3EF3"/>
    <w:rsid w:val="000D7F31"/>
    <w:rsid w:val="00100A34"/>
    <w:rsid w:val="00107495"/>
    <w:rsid w:val="001225BC"/>
    <w:rsid w:val="0014515A"/>
    <w:rsid w:val="00165716"/>
    <w:rsid w:val="0018005E"/>
    <w:rsid w:val="00186FCC"/>
    <w:rsid w:val="001A2178"/>
    <w:rsid w:val="001A7BFD"/>
    <w:rsid w:val="001B0368"/>
    <w:rsid w:val="001E42AC"/>
    <w:rsid w:val="002159DD"/>
    <w:rsid w:val="00217C2A"/>
    <w:rsid w:val="00290E4E"/>
    <w:rsid w:val="0029432F"/>
    <w:rsid w:val="0029726A"/>
    <w:rsid w:val="002B469A"/>
    <w:rsid w:val="002C2998"/>
    <w:rsid w:val="003118C9"/>
    <w:rsid w:val="00317EC2"/>
    <w:rsid w:val="003205A7"/>
    <w:rsid w:val="003239FE"/>
    <w:rsid w:val="00347E7A"/>
    <w:rsid w:val="00351EA6"/>
    <w:rsid w:val="00354888"/>
    <w:rsid w:val="003578A0"/>
    <w:rsid w:val="0037310D"/>
    <w:rsid w:val="0039481E"/>
    <w:rsid w:val="003F32CA"/>
    <w:rsid w:val="00404B9C"/>
    <w:rsid w:val="004357AE"/>
    <w:rsid w:val="004530F7"/>
    <w:rsid w:val="00454495"/>
    <w:rsid w:val="00487D08"/>
    <w:rsid w:val="0049103C"/>
    <w:rsid w:val="004A43B9"/>
    <w:rsid w:val="004A4BE4"/>
    <w:rsid w:val="004E3818"/>
    <w:rsid w:val="004E5ACB"/>
    <w:rsid w:val="004E6113"/>
    <w:rsid w:val="00533120"/>
    <w:rsid w:val="005431D4"/>
    <w:rsid w:val="00550A1E"/>
    <w:rsid w:val="00550B29"/>
    <w:rsid w:val="005648A9"/>
    <w:rsid w:val="005A1D00"/>
    <w:rsid w:val="005A4FB1"/>
    <w:rsid w:val="005B0F50"/>
    <w:rsid w:val="005D1C59"/>
    <w:rsid w:val="005F0DBA"/>
    <w:rsid w:val="005F1006"/>
    <w:rsid w:val="005F7237"/>
    <w:rsid w:val="00602068"/>
    <w:rsid w:val="00614DF2"/>
    <w:rsid w:val="00640A9A"/>
    <w:rsid w:val="006562F0"/>
    <w:rsid w:val="00686B53"/>
    <w:rsid w:val="00697F45"/>
    <w:rsid w:val="006E0EFD"/>
    <w:rsid w:val="006F7F24"/>
    <w:rsid w:val="00721661"/>
    <w:rsid w:val="00731A65"/>
    <w:rsid w:val="007936A9"/>
    <w:rsid w:val="007B284F"/>
    <w:rsid w:val="007B3535"/>
    <w:rsid w:val="00806460"/>
    <w:rsid w:val="008076FB"/>
    <w:rsid w:val="0084453C"/>
    <w:rsid w:val="008751EF"/>
    <w:rsid w:val="0089430B"/>
    <w:rsid w:val="008949EE"/>
    <w:rsid w:val="008A088E"/>
    <w:rsid w:val="008A4498"/>
    <w:rsid w:val="008A5FD9"/>
    <w:rsid w:val="008D2242"/>
    <w:rsid w:val="00910DB8"/>
    <w:rsid w:val="00912C65"/>
    <w:rsid w:val="009324A6"/>
    <w:rsid w:val="009541C4"/>
    <w:rsid w:val="009A49DE"/>
    <w:rsid w:val="009A4D3C"/>
    <w:rsid w:val="009B6749"/>
    <w:rsid w:val="009C4875"/>
    <w:rsid w:val="009D0E57"/>
    <w:rsid w:val="009D14B4"/>
    <w:rsid w:val="009D6EC8"/>
    <w:rsid w:val="00A03E0A"/>
    <w:rsid w:val="00A13F26"/>
    <w:rsid w:val="00A42E60"/>
    <w:rsid w:val="00A45A41"/>
    <w:rsid w:val="00A7257F"/>
    <w:rsid w:val="00A73B75"/>
    <w:rsid w:val="00A74AF5"/>
    <w:rsid w:val="00AA3F2E"/>
    <w:rsid w:val="00AB6CFF"/>
    <w:rsid w:val="00AC2C07"/>
    <w:rsid w:val="00AC2CDE"/>
    <w:rsid w:val="00AD3337"/>
    <w:rsid w:val="00AD717B"/>
    <w:rsid w:val="00AE6472"/>
    <w:rsid w:val="00B25EF3"/>
    <w:rsid w:val="00B36D9B"/>
    <w:rsid w:val="00B64D17"/>
    <w:rsid w:val="00B728BF"/>
    <w:rsid w:val="00B8369A"/>
    <w:rsid w:val="00B86A22"/>
    <w:rsid w:val="00B90430"/>
    <w:rsid w:val="00BC28A6"/>
    <w:rsid w:val="00C02DAD"/>
    <w:rsid w:val="00C660F0"/>
    <w:rsid w:val="00C72BD9"/>
    <w:rsid w:val="00C82CD3"/>
    <w:rsid w:val="00C85E92"/>
    <w:rsid w:val="00C952E4"/>
    <w:rsid w:val="00CB652D"/>
    <w:rsid w:val="00CE20AC"/>
    <w:rsid w:val="00CE78EF"/>
    <w:rsid w:val="00CF15AB"/>
    <w:rsid w:val="00D02E23"/>
    <w:rsid w:val="00D06EA7"/>
    <w:rsid w:val="00D121DD"/>
    <w:rsid w:val="00D25619"/>
    <w:rsid w:val="00D32CFB"/>
    <w:rsid w:val="00E47145"/>
    <w:rsid w:val="00E5279E"/>
    <w:rsid w:val="00E619C4"/>
    <w:rsid w:val="00E76D57"/>
    <w:rsid w:val="00E76D8E"/>
    <w:rsid w:val="00EB5831"/>
    <w:rsid w:val="00EC32B5"/>
    <w:rsid w:val="00F42507"/>
    <w:rsid w:val="00F70DE4"/>
    <w:rsid w:val="00F9232B"/>
    <w:rsid w:val="00F92864"/>
    <w:rsid w:val="00F96203"/>
    <w:rsid w:val="00F97C94"/>
    <w:rsid w:val="00FF16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s>
</file>

<file path=word/webSettings.xml><?xml version="1.0" encoding="utf-8"?>
<w:webSettings xmlns:r="http://schemas.openxmlformats.org/officeDocument/2006/relationships" xmlns:w="http://schemas.openxmlformats.org/wordprocessingml/2006/main">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Bill Mitchell</cp:lastModifiedBy>
  <cp:revision>18</cp:revision>
  <cp:lastPrinted>2018-11-29T16:36:00Z</cp:lastPrinted>
  <dcterms:created xsi:type="dcterms:W3CDTF">2019-03-14T16:40:00Z</dcterms:created>
  <dcterms:modified xsi:type="dcterms:W3CDTF">2019-04-15T19:23:00Z</dcterms:modified>
</cp:coreProperties>
</file>