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0573C9">
        <w:rPr>
          <w:rFonts w:cs="Arial"/>
          <w:b/>
        </w:rPr>
        <w:t xml:space="preserve">  </w:t>
      </w:r>
      <w:r w:rsidR="00585E54">
        <w:rPr>
          <w:b/>
          <w:szCs w:val="28"/>
        </w:rPr>
        <w:t>Tracking the</w:t>
      </w:r>
      <w:r w:rsidR="000573C9" w:rsidRPr="000573C9">
        <w:rPr>
          <w:b/>
          <w:szCs w:val="28"/>
        </w:rPr>
        <w:t xml:space="preserve"> Climate Benefits o</w:t>
      </w:r>
      <w:r w:rsidR="00585E54">
        <w:rPr>
          <w:b/>
          <w:szCs w:val="28"/>
        </w:rPr>
        <w:t>f</w:t>
      </w:r>
      <w:r w:rsidR="000573C9" w:rsidRPr="000573C9">
        <w:rPr>
          <w:b/>
          <w:szCs w:val="28"/>
        </w:rPr>
        <w:t xml:space="preserve"> Natural and Working Lands</w:t>
      </w:r>
    </w:p>
    <w:p w:rsidR="006E0EFD" w:rsidRPr="009D6EC8" w:rsidRDefault="006E0EFD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:rsidR="00D41B23" w:rsidRDefault="00D41B23" w:rsidP="00D41B23">
      <w:r>
        <w:t xml:space="preserve">This project will assess the amount of </w:t>
      </w:r>
      <w:r w:rsidR="00B50650">
        <w:t>greenhouse gas</w:t>
      </w:r>
      <w:r>
        <w:t xml:space="preserve"> capture and storage provided by natural and working lands in Minnesota, focusing primarily on agricultural landscapes. It is focused on two primary questions: </w:t>
      </w:r>
    </w:p>
    <w:p w:rsidR="00D41B23" w:rsidRDefault="00D41B23" w:rsidP="00D41B23">
      <w:pPr>
        <w:pStyle w:val="ListParagraph"/>
        <w:numPr>
          <w:ilvl w:val="0"/>
          <w:numId w:val="13"/>
        </w:numPr>
      </w:pPr>
      <w:r>
        <w:t>What are the climate change mitigation benefits currently being provided by Minnesota’s natural and working lands across its agricultural regions?</w:t>
      </w:r>
    </w:p>
    <w:p w:rsidR="00D41B23" w:rsidRDefault="00D41B23" w:rsidP="00D41B23">
      <w:pPr>
        <w:pStyle w:val="ListParagraph"/>
        <w:numPr>
          <w:ilvl w:val="0"/>
          <w:numId w:val="13"/>
        </w:numPr>
        <w:spacing w:after="120"/>
        <w:contextualSpacing w:val="0"/>
      </w:pPr>
      <w:r>
        <w:t>How can these benefits be sustained and increased into the future?</w:t>
      </w:r>
    </w:p>
    <w:p w:rsidR="0040658E" w:rsidRDefault="000573C9" w:rsidP="0040658E">
      <w:pPr>
        <w:spacing w:after="120"/>
      </w:pPr>
      <w:r>
        <w:t xml:space="preserve">Across Minnesota’s landscape, almost 1.5 million acres are in some form of protected status, including short-term programs such as the Conservation Reserve Program and permanent ones such as </w:t>
      </w:r>
      <w:r w:rsidR="00AC42A5">
        <w:t xml:space="preserve">Reinvest in Minnesota </w:t>
      </w:r>
      <w:r>
        <w:t xml:space="preserve">easements. </w:t>
      </w:r>
      <w:r w:rsidR="00B50650">
        <w:t>Best management practices were being implemented on a</w:t>
      </w:r>
      <w:r>
        <w:t xml:space="preserve">nother </w:t>
      </w:r>
      <w:r w:rsidR="00750940">
        <w:t>4 million</w:t>
      </w:r>
      <w:r>
        <w:t xml:space="preserve"> acres of cropland </w:t>
      </w:r>
      <w:r w:rsidR="00750940">
        <w:t xml:space="preserve">were </w:t>
      </w:r>
      <w:r>
        <w:t xml:space="preserve">under state or federal conservation programs </w:t>
      </w:r>
      <w:r w:rsidR="00750940">
        <w:t>as of 2017</w:t>
      </w:r>
      <w:r>
        <w:t xml:space="preserve">. These lands provide multiple ecosystem benefits, but one of the most important </w:t>
      </w:r>
      <w:r w:rsidR="002C3E4A">
        <w:t>–</w:t>
      </w:r>
      <w:r>
        <w:t xml:space="preserve"> their capture and storage of </w:t>
      </w:r>
      <w:r w:rsidR="00613B45">
        <w:t xml:space="preserve">greenhouse gases </w:t>
      </w:r>
      <w:r w:rsidR="00B50650">
        <w:t>(</w:t>
      </w:r>
      <w:r>
        <w:t xml:space="preserve">carbon dioxide </w:t>
      </w:r>
      <w:r w:rsidR="00613B45">
        <w:t>(CO</w:t>
      </w:r>
      <w:r w:rsidR="00613B45" w:rsidRPr="00613B45">
        <w:rPr>
          <w:vertAlign w:val="subscript"/>
        </w:rPr>
        <w:t>2</w:t>
      </w:r>
      <w:r w:rsidR="00613B45">
        <w:t>), nitrous oxide (N</w:t>
      </w:r>
      <w:r w:rsidR="00613B45" w:rsidRPr="00613B45">
        <w:rPr>
          <w:vertAlign w:val="subscript"/>
        </w:rPr>
        <w:t>2</w:t>
      </w:r>
      <w:r w:rsidR="00613B45">
        <w:t>O) and methane (CH</w:t>
      </w:r>
      <w:r w:rsidR="00613B45" w:rsidRPr="00613B45">
        <w:rPr>
          <w:vertAlign w:val="subscript"/>
        </w:rPr>
        <w:t>4</w:t>
      </w:r>
      <w:r w:rsidR="00613B45">
        <w:t>)</w:t>
      </w:r>
      <w:r w:rsidR="00B50650">
        <w:t>)</w:t>
      </w:r>
      <w:r>
        <w:t xml:space="preserve"> – has been difficult to quantify. </w:t>
      </w:r>
    </w:p>
    <w:p w:rsidR="00A729C8" w:rsidRDefault="00A729C8" w:rsidP="006447C4">
      <w:pPr>
        <w:spacing w:after="120"/>
      </w:pPr>
      <w:r>
        <w:t xml:space="preserve">Since </w:t>
      </w:r>
      <w:r w:rsidRPr="00D9789B">
        <w:t>2009,</w:t>
      </w:r>
      <w:r>
        <w:t xml:space="preserve"> BWSR has been estimating carbon storage from a variety of conservation practices, ranging from wetland restoration to establishment of cover crops and field windbreaks, </w:t>
      </w:r>
      <w:r w:rsidR="00F434E3">
        <w:t xml:space="preserve">documented </w:t>
      </w:r>
      <w:r>
        <w:t xml:space="preserve">in the eLINK reporting system.  Those estimates, based on a 2008 study, are due for an update in light of </w:t>
      </w:r>
      <w:r w:rsidR="00B50650">
        <w:t xml:space="preserve">research </w:t>
      </w:r>
      <w:r>
        <w:t>advances.</w:t>
      </w:r>
    </w:p>
    <w:p w:rsidR="008D2242" w:rsidRPr="009D6EC8" w:rsidRDefault="00427FA0" w:rsidP="006447C4">
      <w:pPr>
        <w:spacing w:after="120"/>
        <w:rPr>
          <w:rFonts w:cs="Arial"/>
        </w:rPr>
      </w:pPr>
      <w:r>
        <w:t xml:space="preserve">The </w:t>
      </w:r>
      <w:r w:rsidR="00A729C8">
        <w:t xml:space="preserve">project </w:t>
      </w:r>
      <w:r>
        <w:t xml:space="preserve">will </w:t>
      </w:r>
      <w:r w:rsidR="00A729C8">
        <w:t>result in</w:t>
      </w:r>
      <w:r>
        <w:t xml:space="preserve"> a</w:t>
      </w:r>
      <w:r w:rsidR="00585E54">
        <w:t>n interactive,</w:t>
      </w:r>
      <w:r>
        <w:t xml:space="preserve"> practical </w:t>
      </w:r>
      <w:r w:rsidR="00585E54">
        <w:t xml:space="preserve">web-based </w:t>
      </w:r>
      <w:r>
        <w:t>estimating tool for sequestration of soil carbon and mitigation of other greenhouse gas (</w:t>
      </w:r>
      <w:proofErr w:type="spellStart"/>
      <w:r>
        <w:t>GHG</w:t>
      </w:r>
      <w:proofErr w:type="spellEnd"/>
      <w:r>
        <w:t xml:space="preserve">) emissions, for use by producers, local government partners, </w:t>
      </w:r>
      <w:r w:rsidR="00585E54">
        <w:t>grant programs, conservation organizations, and other public and private interests</w:t>
      </w:r>
      <w:r>
        <w:t>.</w:t>
      </w:r>
      <w:r w:rsidR="00A729C8">
        <w:t xml:space="preserve"> The tool will enable these individuals and organizations to track and, where feasible, to increase their efforts. </w:t>
      </w:r>
      <w:r w:rsidR="00D41B23">
        <w:t xml:space="preserve">It can be used to prioritize and target investments in </w:t>
      </w:r>
      <w:r w:rsidR="005944C6">
        <w:t xml:space="preserve">restoration of prairie and grassland ecosystems, incentivize conservation practices, and improve wetland restoration practices. </w:t>
      </w:r>
      <w:r w:rsidR="00D27CC6">
        <w:t xml:space="preserve">It addresses one of the key priorities of the </w:t>
      </w:r>
      <w:proofErr w:type="spellStart"/>
      <w:r w:rsidR="00D27CC6">
        <w:t>Walz</w:t>
      </w:r>
      <w:proofErr w:type="spellEnd"/>
      <w:r w:rsidR="00D27CC6">
        <w:t xml:space="preserve"> administration</w:t>
      </w:r>
      <w:r w:rsidR="004B6C7F">
        <w:t xml:space="preserve"> (Executive Order 19-27 directs state agencies to reduce greenhouse gas emissions by 30% by 2025 relative to a 2005 baseline).</w:t>
      </w:r>
      <w:r w:rsidR="00D27CC6">
        <w:t xml:space="preserve"> </w:t>
      </w:r>
      <w:r w:rsidR="005944C6">
        <w:t>S</w:t>
      </w:r>
      <w:r w:rsidR="0040658E">
        <w:t>hould carbon markets become available in Minnesota</w:t>
      </w:r>
      <w:r w:rsidR="005944C6">
        <w:t xml:space="preserve"> in the future</w:t>
      </w:r>
      <w:r w:rsidR="0040658E">
        <w:t xml:space="preserve">, </w:t>
      </w:r>
      <w:r w:rsidR="005944C6">
        <w:t>the tool will also</w:t>
      </w:r>
      <w:r w:rsidR="0040658E">
        <w:t xml:space="preserve"> </w:t>
      </w:r>
      <w:r w:rsidR="002C3E4A">
        <w:t>help producers to enter</w:t>
      </w:r>
      <w:r w:rsidR="0040658E">
        <w:t xml:space="preserve"> those markets</w:t>
      </w:r>
      <w:r w:rsidR="002C3E4A">
        <w:t>.</w:t>
      </w:r>
    </w:p>
    <w:p w:rsidR="006E0EFD" w:rsidRPr="009D6EC8" w:rsidRDefault="006E0EFD" w:rsidP="00821B37">
      <w:pPr>
        <w:spacing w:after="120"/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9E7F60" w:rsidRDefault="009E7F60" w:rsidP="00217C2A">
      <w:pPr>
        <w:widowControl w:val="0"/>
        <w:rPr>
          <w:rFonts w:cs="Arial"/>
          <w:b/>
        </w:rPr>
      </w:pPr>
      <w:r w:rsidRPr="00EB5831">
        <w:rPr>
          <w:rFonts w:cs="Arial"/>
          <w:b/>
        </w:rPr>
        <w:t>Activity 1:</w:t>
      </w:r>
      <w:r>
        <w:rPr>
          <w:rFonts w:cs="Arial"/>
          <w:b/>
        </w:rPr>
        <w:t xml:space="preserve">  Establish advisory team, summarize current research, </w:t>
      </w:r>
      <w:proofErr w:type="gramStart"/>
      <w:r>
        <w:rPr>
          <w:rFonts w:cs="Arial"/>
          <w:b/>
        </w:rPr>
        <w:t>evaluate</w:t>
      </w:r>
      <w:proofErr w:type="gramEnd"/>
      <w:r>
        <w:rPr>
          <w:rFonts w:cs="Arial"/>
          <w:b/>
        </w:rPr>
        <w:t xml:space="preserve"> models and tools</w:t>
      </w:r>
    </w:p>
    <w:p w:rsidR="009E7F60" w:rsidRDefault="009E7F60" w:rsidP="00217C2A">
      <w:pPr>
        <w:widowControl w:val="0"/>
        <w:rPr>
          <w:rFonts w:cs="Arial"/>
          <w:i/>
        </w:rPr>
      </w:pPr>
      <w:r>
        <w:rPr>
          <w:rFonts w:cs="Arial"/>
          <w:b/>
        </w:rPr>
        <w:t>Description:</w:t>
      </w:r>
      <w:r w:rsidRPr="00EB5831">
        <w:rPr>
          <w:rFonts w:cs="Arial"/>
          <w:i/>
        </w:rPr>
        <w:t xml:space="preserve"> </w:t>
      </w:r>
      <w:r>
        <w:rPr>
          <w:rFonts w:cs="Arial"/>
          <w:i/>
        </w:rPr>
        <w:t xml:space="preserve"> </w:t>
      </w:r>
    </w:p>
    <w:p w:rsidR="009E7F60" w:rsidRPr="007A6730" w:rsidRDefault="009E7F60" w:rsidP="007A6730">
      <w:pPr>
        <w:pStyle w:val="ListParagraph"/>
        <w:widowControl w:val="0"/>
        <w:numPr>
          <w:ilvl w:val="0"/>
          <w:numId w:val="15"/>
        </w:numPr>
        <w:rPr>
          <w:rFonts w:cs="Arial"/>
        </w:rPr>
      </w:pPr>
      <w:r w:rsidRPr="007A6730">
        <w:rPr>
          <w:rFonts w:cs="Arial"/>
        </w:rPr>
        <w:t xml:space="preserve">Establish </w:t>
      </w:r>
      <w:r w:rsidR="00FD2853">
        <w:rPr>
          <w:rFonts w:cs="Arial"/>
        </w:rPr>
        <w:t>stakeholder</w:t>
      </w:r>
      <w:r w:rsidRPr="007A6730">
        <w:rPr>
          <w:rFonts w:cs="Arial"/>
        </w:rPr>
        <w:t xml:space="preserve"> advisory team, </w:t>
      </w:r>
      <w:r w:rsidR="00FD2853">
        <w:rPr>
          <w:rFonts w:cs="Arial"/>
        </w:rPr>
        <w:t>listed below under “Project Partners.”</w:t>
      </w:r>
    </w:p>
    <w:p w:rsidR="009E7F60" w:rsidRPr="007A6730" w:rsidRDefault="009E7F60" w:rsidP="007A673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Arial"/>
          <w:bCs/>
          <w:color w:val="000000"/>
        </w:rPr>
      </w:pPr>
      <w:r w:rsidRPr="007A6730">
        <w:rPr>
          <w:rFonts w:cs="Arial"/>
          <w:bCs/>
          <w:color w:val="000000"/>
        </w:rPr>
        <w:t xml:space="preserve">Review and summarize current research and available models and tools for calculating </w:t>
      </w:r>
      <w:proofErr w:type="spellStart"/>
      <w:r w:rsidRPr="007A6730">
        <w:rPr>
          <w:rFonts w:cs="Arial"/>
          <w:bCs/>
          <w:color w:val="000000"/>
        </w:rPr>
        <w:t>GHG</w:t>
      </w:r>
      <w:proofErr w:type="spellEnd"/>
      <w:r w:rsidRPr="007A6730">
        <w:rPr>
          <w:rFonts w:cs="Arial"/>
          <w:bCs/>
          <w:color w:val="000000"/>
        </w:rPr>
        <w:t xml:space="preserve"> emissions. </w:t>
      </w:r>
      <w:r>
        <w:t xml:space="preserve">The Air Policy Unit at the MPCA has </w:t>
      </w:r>
      <w:r w:rsidR="00AC42A5">
        <w:t xml:space="preserve">completed </w:t>
      </w:r>
      <w:r w:rsidR="00470C08">
        <w:t xml:space="preserve">a comprehensive </w:t>
      </w:r>
      <w:r w:rsidR="00AC42A5">
        <w:t>analysis</w:t>
      </w:r>
      <w:r>
        <w:t xml:space="preserve"> o</w:t>
      </w:r>
      <w:r w:rsidR="00AC42A5">
        <w:t>f</w:t>
      </w:r>
      <w:r>
        <w:t xml:space="preserve"> “Greenhouse Gas Mitigation </w:t>
      </w:r>
      <w:r w:rsidR="00AC42A5">
        <w:t>through Conservation Practices</w:t>
      </w:r>
      <w:r>
        <w:t>.</w:t>
      </w:r>
      <w:r w:rsidR="00AC42A5">
        <w:t>”</w:t>
      </w:r>
      <w:r>
        <w:t xml:space="preserve"> The team will summarize this research and identify any gaps or additional needs. </w:t>
      </w:r>
    </w:p>
    <w:p w:rsidR="009E7F60" w:rsidRDefault="00AC42A5" w:rsidP="00821B37">
      <w:pPr>
        <w:pStyle w:val="ListParagraph"/>
        <w:numPr>
          <w:ilvl w:val="0"/>
          <w:numId w:val="15"/>
        </w:numPr>
        <w:spacing w:after="120"/>
      </w:pPr>
      <w:r>
        <w:t>A</w:t>
      </w:r>
      <w:r w:rsidR="009E7F60">
        <w:t xml:space="preserve">ssess available models and </w:t>
      </w:r>
      <w:r w:rsidR="009E7F60" w:rsidRPr="00DA453B">
        <w:rPr>
          <w:rFonts w:eastAsia="Times New Roman"/>
        </w:rPr>
        <w:t xml:space="preserve">quantification tools for measuring emissions and benefits of conservation practices, including the USDA’s COMET Tool </w:t>
      </w:r>
      <w:r w:rsidR="00D27CC6">
        <w:rPr>
          <w:rFonts w:eastAsia="Times New Roman"/>
        </w:rPr>
        <w:t>(</w:t>
      </w:r>
      <w:r w:rsidR="009E7F60" w:rsidRPr="00DA453B">
        <w:rPr>
          <w:rFonts w:eastAsia="Times New Roman"/>
        </w:rPr>
        <w:t xml:space="preserve">which uses the </w:t>
      </w:r>
      <w:proofErr w:type="spellStart"/>
      <w:r w:rsidR="009E7F60" w:rsidRPr="00DA453B">
        <w:rPr>
          <w:rFonts w:eastAsia="Times New Roman"/>
        </w:rPr>
        <w:t>DAYCENT</w:t>
      </w:r>
      <w:proofErr w:type="spellEnd"/>
      <w:r w:rsidR="009E7F60" w:rsidRPr="00DA453B">
        <w:rPr>
          <w:rFonts w:eastAsia="Times New Roman"/>
        </w:rPr>
        <w:t xml:space="preserve"> </w:t>
      </w:r>
      <w:r w:rsidR="00D27CC6">
        <w:rPr>
          <w:rFonts w:eastAsia="Times New Roman"/>
        </w:rPr>
        <w:t xml:space="preserve">and </w:t>
      </w:r>
      <w:proofErr w:type="spellStart"/>
      <w:r w:rsidR="00D27CC6">
        <w:rPr>
          <w:rFonts w:eastAsia="Times New Roman"/>
        </w:rPr>
        <w:t>DNDC</w:t>
      </w:r>
      <w:proofErr w:type="spellEnd"/>
      <w:r w:rsidR="00D27CC6">
        <w:rPr>
          <w:rFonts w:eastAsia="Times New Roman"/>
        </w:rPr>
        <w:t xml:space="preserve"> </w:t>
      </w:r>
      <w:r w:rsidR="009E7F60" w:rsidRPr="00DA453B">
        <w:rPr>
          <w:rFonts w:eastAsia="Times New Roman"/>
        </w:rPr>
        <w:t>model</w:t>
      </w:r>
      <w:r w:rsidR="00D27CC6">
        <w:rPr>
          <w:rFonts w:eastAsia="Times New Roman"/>
        </w:rPr>
        <w:t xml:space="preserve">s) </w:t>
      </w:r>
      <w:r w:rsidR="009E7F60" w:rsidRPr="00DA453B">
        <w:rPr>
          <w:rFonts w:eastAsia="Times New Roman"/>
        </w:rPr>
        <w:t>and other</w:t>
      </w:r>
      <w:r w:rsidR="00D27CC6">
        <w:rPr>
          <w:rFonts w:eastAsia="Times New Roman"/>
        </w:rPr>
        <w:t xml:space="preserve"> model</w:t>
      </w:r>
      <w:r w:rsidR="009E7F60" w:rsidRPr="00DA453B">
        <w:rPr>
          <w:rFonts w:eastAsia="Times New Roman"/>
        </w:rPr>
        <w:t>s currently in use nationally and in selected states</w:t>
      </w:r>
      <w:r w:rsidR="009E7F60">
        <w:rPr>
          <w:rFonts w:eastAsia="Times New Roman"/>
        </w:rPr>
        <w:t>. T</w:t>
      </w:r>
      <w:r w:rsidR="009E7F60">
        <w:t>here are pros and cons of each model that should be considered</w:t>
      </w:r>
      <w:r w:rsidR="00470C08">
        <w:t>,</w:t>
      </w:r>
      <w:r w:rsidR="009E7F60">
        <w:t xml:space="preserve"> </w:t>
      </w:r>
      <w:r w:rsidR="009E7F60">
        <w:rPr>
          <w:rFonts w:asciiTheme="minorHAnsi" w:eastAsia="Arial" w:hAnsiTheme="minorHAnsi" w:cs="Arial"/>
        </w:rPr>
        <w:t xml:space="preserve">based on available inputs and calibration datasets, preferred level of complexity, </w:t>
      </w:r>
      <w:r w:rsidR="00EC6B16">
        <w:rPr>
          <w:rFonts w:asciiTheme="minorHAnsi" w:eastAsia="Arial" w:hAnsiTheme="minorHAnsi" w:cs="Arial"/>
        </w:rPr>
        <w:t xml:space="preserve">and </w:t>
      </w:r>
      <w:r w:rsidR="009E7F60">
        <w:rPr>
          <w:rFonts w:asciiTheme="minorHAnsi" w:eastAsia="Arial" w:hAnsiTheme="minorHAnsi" w:cs="Arial"/>
        </w:rPr>
        <w:t>allowable level of uncertainty</w:t>
      </w:r>
      <w:r w:rsidR="00EC6B16">
        <w:rPr>
          <w:rFonts w:asciiTheme="minorHAnsi" w:eastAsia="Arial" w:hAnsiTheme="minorHAnsi" w:cs="Arial"/>
        </w:rPr>
        <w:t>,</w:t>
      </w:r>
      <w:r w:rsidR="009E7F60">
        <w:rPr>
          <w:rFonts w:asciiTheme="minorHAnsi" w:eastAsia="Arial" w:hAnsiTheme="minorHAnsi" w:cs="Arial"/>
        </w:rPr>
        <w:t xml:space="preserve"> </w:t>
      </w:r>
      <w:r w:rsidR="009E7F60">
        <w:t xml:space="preserve">before the state decides on a specific methodology. </w:t>
      </w:r>
      <w:r w:rsidR="009E7F60">
        <w:rPr>
          <w:rFonts w:eastAsia="Times New Roman"/>
        </w:rPr>
        <w:t>After evaluating available tools, and w</w:t>
      </w:r>
      <w:r w:rsidR="009E7F60">
        <w:rPr>
          <w:rFonts w:cs="Arial"/>
        </w:rPr>
        <w:t xml:space="preserve">ith the input of the advisory team, a </w:t>
      </w:r>
      <w:r w:rsidR="009E7F60">
        <w:rPr>
          <w:rFonts w:asciiTheme="minorHAnsi" w:eastAsia="Arial" w:hAnsiTheme="minorHAnsi" w:cs="Arial"/>
        </w:rPr>
        <w:t xml:space="preserve">platform for the calculator will be selected.   </w:t>
      </w:r>
    </w:p>
    <w:p w:rsidR="009E7F60" w:rsidRDefault="009E7F60" w:rsidP="005431D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proofErr w:type="spellStart"/>
      <w:r>
        <w:rPr>
          <w:rFonts w:cs="Arial"/>
          <w:b/>
          <w:bCs/>
          <w:color w:val="000000"/>
        </w:rPr>
        <w:t>ENRTF</w:t>
      </w:r>
      <w:proofErr w:type="spellEnd"/>
      <w:r>
        <w:rPr>
          <w:rFonts w:cs="Arial"/>
          <w:b/>
          <w:bCs/>
          <w:color w:val="000000"/>
        </w:rPr>
        <w:t xml:space="preserve"> BUDGET:  $</w:t>
      </w:r>
      <w:r w:rsidR="00EC6B16">
        <w:rPr>
          <w:rFonts w:cs="Arial"/>
          <w:b/>
          <w:bCs/>
          <w:color w:val="000000"/>
        </w:rPr>
        <w:t>85</w:t>
      </w:r>
      <w:r>
        <w:rPr>
          <w:rFonts w:cs="Arial"/>
          <w:b/>
          <w:bCs/>
          <w:color w:val="000000"/>
        </w:rPr>
        <w:t>,</w:t>
      </w:r>
      <w:r w:rsidR="0036762E">
        <w:rPr>
          <w:rFonts w:cs="Arial"/>
          <w:b/>
          <w:bCs/>
          <w:color w:val="000000"/>
        </w:rPr>
        <w:t>5</w:t>
      </w:r>
      <w:r>
        <w:rPr>
          <w:rFonts w:cs="Arial"/>
          <w:b/>
          <w:bCs/>
          <w:color w:val="000000"/>
        </w:rPr>
        <w:t>00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8"/>
        <w:gridCol w:w="1858"/>
      </w:tblGrid>
      <w:tr w:rsidR="006E0EFD" w:rsidRPr="009D6EC8" w:rsidTr="0080120D">
        <w:tc>
          <w:tcPr>
            <w:tcW w:w="8618" w:type="dxa"/>
          </w:tcPr>
          <w:p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58" w:type="dxa"/>
          </w:tcPr>
          <w:p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:rsidTr="0080120D">
        <w:tc>
          <w:tcPr>
            <w:tcW w:w="8618" w:type="dxa"/>
          </w:tcPr>
          <w:p w:rsidR="006E0EFD" w:rsidRPr="009D6EC8" w:rsidRDefault="006E0EFD" w:rsidP="006447C4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D65022">
              <w:rPr>
                <w:rFonts w:cs="Arial"/>
                <w:i/>
              </w:rPr>
              <w:t>Advisory team established</w:t>
            </w:r>
            <w:r w:rsidR="009E7F60">
              <w:rPr>
                <w:rFonts w:cs="Arial"/>
                <w:i/>
              </w:rPr>
              <w:t>; consultant(s) selected</w:t>
            </w:r>
          </w:p>
        </w:tc>
        <w:tc>
          <w:tcPr>
            <w:tcW w:w="1858" w:type="dxa"/>
          </w:tcPr>
          <w:p w:rsidR="006E0EFD" w:rsidRPr="009D6EC8" w:rsidRDefault="00D65022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Fall 2020</w:t>
            </w:r>
          </w:p>
        </w:tc>
      </w:tr>
      <w:tr w:rsidR="006E0EFD" w:rsidRPr="009D6EC8" w:rsidTr="0080120D">
        <w:tc>
          <w:tcPr>
            <w:tcW w:w="8618" w:type="dxa"/>
          </w:tcPr>
          <w:p w:rsidR="006E0EFD" w:rsidRPr="009D6EC8" w:rsidRDefault="006447C4" w:rsidP="006447C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2</w:t>
            </w:r>
            <w:r w:rsidR="006E0EFD" w:rsidRPr="009D6EC8">
              <w:rPr>
                <w:rFonts w:cs="Arial"/>
                <w:i/>
              </w:rPr>
              <w:t xml:space="preserve">.  </w:t>
            </w:r>
            <w:r>
              <w:rPr>
                <w:rFonts w:cs="Arial"/>
                <w:i/>
              </w:rPr>
              <w:t>Interim report on s</w:t>
            </w:r>
            <w:r w:rsidR="00D65022">
              <w:rPr>
                <w:rFonts w:cs="Arial"/>
                <w:i/>
              </w:rPr>
              <w:t xml:space="preserve">tate of current practice </w:t>
            </w:r>
            <w:r>
              <w:rPr>
                <w:rFonts w:cs="Arial"/>
                <w:i/>
              </w:rPr>
              <w:t>and available models</w:t>
            </w:r>
            <w:r w:rsidR="00D65022">
              <w:rPr>
                <w:rFonts w:cs="Arial"/>
                <w:i/>
              </w:rPr>
              <w:t xml:space="preserve"> </w:t>
            </w:r>
          </w:p>
        </w:tc>
        <w:tc>
          <w:tcPr>
            <w:tcW w:w="1858" w:type="dxa"/>
          </w:tcPr>
          <w:p w:rsidR="006E0EFD" w:rsidRPr="009D6EC8" w:rsidRDefault="006447C4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December 2020</w:t>
            </w:r>
          </w:p>
        </w:tc>
      </w:tr>
      <w:tr w:rsidR="007A6730" w:rsidRPr="009D6EC8" w:rsidTr="0080120D">
        <w:tc>
          <w:tcPr>
            <w:tcW w:w="8618" w:type="dxa"/>
          </w:tcPr>
          <w:p w:rsidR="007A6730" w:rsidRDefault="007A6730" w:rsidP="00DA453B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3.  Model </w:t>
            </w:r>
            <w:r w:rsidR="00DA453B">
              <w:rPr>
                <w:rFonts w:cs="Arial"/>
                <w:i/>
              </w:rPr>
              <w:t>evaluation and selection</w:t>
            </w:r>
          </w:p>
        </w:tc>
        <w:tc>
          <w:tcPr>
            <w:tcW w:w="1858" w:type="dxa"/>
          </w:tcPr>
          <w:p w:rsidR="007A6730" w:rsidRDefault="007A6730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Winter 2021</w:t>
            </w:r>
          </w:p>
        </w:tc>
      </w:tr>
    </w:tbl>
    <w:p w:rsidR="00C02DAD" w:rsidRPr="004B6C7F" w:rsidRDefault="00C02DAD" w:rsidP="00F434E3">
      <w:pPr>
        <w:tabs>
          <w:tab w:val="left" w:pos="540"/>
        </w:tabs>
        <w:autoSpaceDE w:val="0"/>
        <w:autoSpaceDN w:val="0"/>
        <w:adjustRightInd w:val="0"/>
        <w:rPr>
          <w:rFonts w:cs="Arial"/>
          <w:sz w:val="20"/>
        </w:rPr>
      </w:pPr>
    </w:p>
    <w:p w:rsidR="00C02DAD" w:rsidRDefault="007A673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2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 </w:t>
      </w:r>
      <w:r w:rsidR="008523FB">
        <w:rPr>
          <w:rFonts w:cs="Arial"/>
          <w:b/>
        </w:rPr>
        <w:t>C</w:t>
      </w:r>
      <w:r w:rsidR="006C3872">
        <w:rPr>
          <w:rFonts w:cs="Arial"/>
          <w:b/>
        </w:rPr>
        <w:t>alibrate the model</w:t>
      </w:r>
      <w:r w:rsidR="002C7DE2">
        <w:rPr>
          <w:rFonts w:cs="Arial"/>
          <w:b/>
        </w:rPr>
        <w:t>; develop the tool</w:t>
      </w:r>
    </w:p>
    <w:p w:rsidR="007A6730" w:rsidRPr="00DA453B" w:rsidRDefault="008523FB" w:rsidP="00C31FA1">
      <w:pPr>
        <w:tabs>
          <w:tab w:val="left" w:pos="540"/>
        </w:tabs>
        <w:autoSpaceDE w:val="0"/>
        <w:autoSpaceDN w:val="0"/>
        <w:adjustRightInd w:val="0"/>
        <w:spacing w:after="120"/>
        <w:rPr>
          <w:rFonts w:cs="Arial"/>
        </w:rPr>
      </w:pPr>
      <w:r>
        <w:rPr>
          <w:rFonts w:asciiTheme="minorHAnsi" w:eastAsia="Arial" w:hAnsiTheme="minorHAnsi" w:cs="Arial"/>
        </w:rPr>
        <w:t xml:space="preserve">The </w:t>
      </w:r>
      <w:r w:rsidR="00AC42A5">
        <w:rPr>
          <w:rFonts w:asciiTheme="minorHAnsi" w:eastAsia="Arial" w:hAnsiTheme="minorHAnsi" w:cs="Arial"/>
        </w:rPr>
        <w:t xml:space="preserve">selected </w:t>
      </w:r>
      <w:r>
        <w:rPr>
          <w:rFonts w:asciiTheme="minorHAnsi" w:eastAsia="Arial" w:hAnsiTheme="minorHAnsi" w:cs="Arial"/>
        </w:rPr>
        <w:t>model will need to be calibrated to Minnesota-specific conditions. The project will simulate the historic conditions associated with cropland and pasture in the different regions of the state and</w:t>
      </w:r>
      <w:r w:rsidR="002B1CD7">
        <w:rPr>
          <w:rFonts w:asciiTheme="minorHAnsi" w:eastAsia="Arial" w:hAnsiTheme="minorHAnsi" w:cs="Arial"/>
        </w:rPr>
        <w:t xml:space="preserve"> compare that to a </w:t>
      </w:r>
      <w:r w:rsidR="00AB22BD">
        <w:rPr>
          <w:rFonts w:asciiTheme="minorHAnsi" w:eastAsia="Arial" w:hAnsiTheme="minorHAnsi" w:cs="Arial"/>
        </w:rPr>
        <w:t>simulation of</w:t>
      </w:r>
      <w:r>
        <w:rPr>
          <w:rFonts w:asciiTheme="minorHAnsi" w:eastAsia="Arial" w:hAnsiTheme="minorHAnsi" w:cs="Arial"/>
        </w:rPr>
        <w:t xml:space="preserve"> current or planned conditions (e.g., adoption of conservation practice or conversion). The difference in </w:t>
      </w:r>
      <w:proofErr w:type="spellStart"/>
      <w:r>
        <w:rPr>
          <w:rFonts w:asciiTheme="minorHAnsi" w:eastAsia="Arial" w:hAnsiTheme="minorHAnsi" w:cs="Arial"/>
        </w:rPr>
        <w:t>GHG</w:t>
      </w:r>
      <w:proofErr w:type="spellEnd"/>
      <w:r>
        <w:rPr>
          <w:rFonts w:asciiTheme="minorHAnsi" w:eastAsia="Arial" w:hAnsiTheme="minorHAnsi" w:cs="Arial"/>
        </w:rPr>
        <w:t xml:space="preserve"> emissions between the two scenarios provides the </w:t>
      </w:r>
      <w:proofErr w:type="spellStart"/>
      <w:r>
        <w:rPr>
          <w:rFonts w:asciiTheme="minorHAnsi" w:eastAsia="Arial" w:hAnsiTheme="minorHAnsi" w:cs="Arial"/>
        </w:rPr>
        <w:t>GHG</w:t>
      </w:r>
      <w:proofErr w:type="spellEnd"/>
      <w:r>
        <w:rPr>
          <w:rFonts w:asciiTheme="minorHAnsi" w:eastAsia="Arial" w:hAnsiTheme="minorHAnsi" w:cs="Arial"/>
        </w:rPr>
        <w:t xml:space="preserve"> benefit(s).</w:t>
      </w:r>
    </w:p>
    <w:p w:rsidR="008523FB" w:rsidRDefault="00154F45" w:rsidP="00585E54">
      <w:pPr>
        <w:pStyle w:val="NoSpacing"/>
      </w:pPr>
      <w:r>
        <w:t>Land areas to be assessed include</w:t>
      </w:r>
      <w:r w:rsidR="008523FB">
        <w:t xml:space="preserve"> </w:t>
      </w:r>
      <w:r>
        <w:t>row</w:t>
      </w:r>
      <w:r w:rsidR="00821B37">
        <w:t xml:space="preserve"> </w:t>
      </w:r>
      <w:r>
        <w:t>crop lands co</w:t>
      </w:r>
      <w:r w:rsidR="008523FB">
        <w:t>nverted to</w:t>
      </w:r>
      <w:r>
        <w:t xml:space="preserve"> grassland or where cover crops, reduced tillage, perennial crops, and other </w:t>
      </w:r>
      <w:proofErr w:type="spellStart"/>
      <w:r>
        <w:t>BMPs</w:t>
      </w:r>
      <w:proofErr w:type="spellEnd"/>
      <w:r>
        <w:t xml:space="preserve"> have been established</w:t>
      </w:r>
      <w:r w:rsidR="002B1CD7">
        <w:t>, as well as w</w:t>
      </w:r>
      <w:r>
        <w:t xml:space="preserve">etland and </w:t>
      </w:r>
      <w:proofErr w:type="spellStart"/>
      <w:r>
        <w:t>shoreland</w:t>
      </w:r>
      <w:proofErr w:type="spellEnd"/>
      <w:r>
        <w:t xml:space="preserve"> restorations and managed grazing practices. </w:t>
      </w:r>
      <w:r w:rsidR="008523FB">
        <w:t xml:space="preserve">Conservation practices would be assessed on lands </w:t>
      </w:r>
      <w:r w:rsidR="00AC42A5">
        <w:t>in</w:t>
      </w:r>
      <w:r w:rsidR="008523FB">
        <w:t xml:space="preserve"> </w:t>
      </w:r>
      <w:r w:rsidR="00585E54">
        <w:t xml:space="preserve">state and federal easement </w:t>
      </w:r>
      <w:r w:rsidR="00AC42A5">
        <w:t>programs (</w:t>
      </w:r>
      <w:proofErr w:type="spellStart"/>
      <w:r w:rsidR="00AC42A5">
        <w:t>CREP</w:t>
      </w:r>
      <w:proofErr w:type="spellEnd"/>
      <w:r w:rsidR="00AC42A5">
        <w:t xml:space="preserve">, RIM, Wetland banking) and cost-share programs such as </w:t>
      </w:r>
      <w:proofErr w:type="spellStart"/>
      <w:r w:rsidR="00585E54">
        <w:t>EQIP</w:t>
      </w:r>
      <w:proofErr w:type="spellEnd"/>
      <w:r w:rsidR="00585E54">
        <w:t xml:space="preserve"> and </w:t>
      </w:r>
      <w:proofErr w:type="spellStart"/>
      <w:r w:rsidR="00585E54">
        <w:t>CSP</w:t>
      </w:r>
      <w:proofErr w:type="spellEnd"/>
      <w:r w:rsidR="00585E54">
        <w:t xml:space="preserve">, </w:t>
      </w:r>
      <w:r w:rsidR="00AC42A5">
        <w:t xml:space="preserve">as well as lands </w:t>
      </w:r>
      <w:r w:rsidR="00585E54">
        <w:t>protected through grant programs such as</w:t>
      </w:r>
      <w:r w:rsidR="00AC42A5">
        <w:t xml:space="preserve"> the </w:t>
      </w:r>
      <w:proofErr w:type="spellStart"/>
      <w:r w:rsidR="00585E54">
        <w:t>L</w:t>
      </w:r>
      <w:r w:rsidR="00AC42A5">
        <w:t>essard-</w:t>
      </w:r>
      <w:r w:rsidR="00585E54">
        <w:t>S</w:t>
      </w:r>
      <w:r w:rsidR="00AC42A5">
        <w:t>ams</w:t>
      </w:r>
      <w:proofErr w:type="spellEnd"/>
      <w:r w:rsidR="00AC42A5">
        <w:t xml:space="preserve"> </w:t>
      </w:r>
      <w:r w:rsidR="00585E54">
        <w:t>O</w:t>
      </w:r>
      <w:r w:rsidR="00AC42A5">
        <w:t xml:space="preserve">utdoor </w:t>
      </w:r>
      <w:r w:rsidR="00585E54">
        <w:t>H</w:t>
      </w:r>
      <w:r w:rsidR="00AC42A5">
        <w:t xml:space="preserve">eritage Fund </w:t>
      </w:r>
      <w:r w:rsidR="00585E54">
        <w:t xml:space="preserve">and </w:t>
      </w:r>
      <w:r w:rsidR="00AC42A5">
        <w:t xml:space="preserve">the </w:t>
      </w:r>
      <w:r w:rsidR="00585E54">
        <w:t>Clean Water Fund.</w:t>
      </w:r>
    </w:p>
    <w:p w:rsidR="008523FB" w:rsidRPr="008523FB" w:rsidRDefault="008523FB" w:rsidP="0080120D">
      <w:pPr>
        <w:autoSpaceDE w:val="0"/>
        <w:autoSpaceDN w:val="0"/>
        <w:adjustRightInd w:val="0"/>
        <w:spacing w:before="60"/>
        <w:rPr>
          <w:rFonts w:cs="Arial"/>
          <w:b/>
          <w:bCs/>
          <w:color w:val="000000"/>
        </w:rPr>
      </w:pPr>
      <w:proofErr w:type="spellStart"/>
      <w:r w:rsidRPr="008523FB">
        <w:rPr>
          <w:rFonts w:cs="Arial"/>
          <w:b/>
          <w:bCs/>
          <w:color w:val="000000"/>
        </w:rPr>
        <w:t>ENRTF</w:t>
      </w:r>
      <w:proofErr w:type="spellEnd"/>
      <w:r w:rsidRPr="008523FB">
        <w:rPr>
          <w:rFonts w:cs="Arial"/>
          <w:b/>
          <w:bCs/>
          <w:color w:val="000000"/>
        </w:rPr>
        <w:t xml:space="preserve"> BUDGET: </w:t>
      </w:r>
      <w:r w:rsidR="00CE5E23">
        <w:rPr>
          <w:rFonts w:cs="Arial"/>
          <w:b/>
          <w:bCs/>
          <w:color w:val="000000"/>
        </w:rPr>
        <w:t xml:space="preserve"> </w:t>
      </w:r>
      <w:r w:rsidRPr="008523FB">
        <w:rPr>
          <w:rFonts w:cs="Arial"/>
          <w:b/>
          <w:bCs/>
          <w:color w:val="000000"/>
        </w:rPr>
        <w:t>$</w:t>
      </w:r>
      <w:r w:rsidR="00585E54">
        <w:rPr>
          <w:rFonts w:cs="Arial"/>
          <w:b/>
          <w:bCs/>
          <w:color w:val="000000"/>
        </w:rPr>
        <w:t>2</w:t>
      </w:r>
      <w:r w:rsidR="00EC6B16">
        <w:rPr>
          <w:rFonts w:cs="Arial"/>
          <w:b/>
          <w:bCs/>
          <w:color w:val="000000"/>
        </w:rPr>
        <w:t>17</w:t>
      </w:r>
      <w:r w:rsidRPr="008523FB">
        <w:rPr>
          <w:rFonts w:cs="Arial"/>
          <w:b/>
          <w:bCs/>
          <w:color w:val="000000"/>
        </w:rPr>
        <w:t>,000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2201"/>
      </w:tblGrid>
      <w:tr w:rsidR="009E7F60" w:rsidRPr="009D6EC8" w:rsidTr="009E7F60">
        <w:tc>
          <w:tcPr>
            <w:tcW w:w="8275" w:type="dxa"/>
          </w:tcPr>
          <w:p w:rsidR="009E7F60" w:rsidRPr="009D6EC8" w:rsidRDefault="009E7F60" w:rsidP="00461338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2201" w:type="dxa"/>
          </w:tcPr>
          <w:p w:rsidR="009E7F60" w:rsidRPr="009D6EC8" w:rsidRDefault="009E7F60" w:rsidP="00461338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9E7F60" w:rsidRPr="009D6EC8" w:rsidTr="009E7F60">
        <w:tc>
          <w:tcPr>
            <w:tcW w:w="8275" w:type="dxa"/>
          </w:tcPr>
          <w:p w:rsidR="009E7F60" w:rsidRPr="009D6EC8" w:rsidRDefault="009E7F60" w:rsidP="009E7F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1.  Model calibration</w:t>
            </w:r>
          </w:p>
        </w:tc>
        <w:tc>
          <w:tcPr>
            <w:tcW w:w="2201" w:type="dxa"/>
          </w:tcPr>
          <w:p w:rsidR="009E7F60" w:rsidRPr="009D6EC8" w:rsidRDefault="009E7F60" w:rsidP="0046133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Spring-Summer</w:t>
            </w:r>
            <w:r w:rsidR="002C7DE2">
              <w:rPr>
                <w:rFonts w:cs="Arial"/>
                <w:i/>
              </w:rPr>
              <w:t xml:space="preserve"> 2021</w:t>
            </w:r>
          </w:p>
        </w:tc>
      </w:tr>
      <w:tr w:rsidR="009E7F60" w:rsidRPr="009D6EC8" w:rsidTr="009E7F60">
        <w:tc>
          <w:tcPr>
            <w:tcW w:w="8275" w:type="dxa"/>
          </w:tcPr>
          <w:p w:rsidR="009E7F60" w:rsidRPr="009D6EC8" w:rsidRDefault="009E7F60" w:rsidP="009E7F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Pr="009D6EC8">
              <w:rPr>
                <w:rFonts w:cs="Arial"/>
                <w:i/>
              </w:rPr>
              <w:t xml:space="preserve">.  </w:t>
            </w:r>
            <w:r>
              <w:rPr>
                <w:rFonts w:cs="Arial"/>
                <w:i/>
              </w:rPr>
              <w:t>Model evaluation and testing</w:t>
            </w:r>
          </w:p>
        </w:tc>
        <w:tc>
          <w:tcPr>
            <w:tcW w:w="2201" w:type="dxa"/>
          </w:tcPr>
          <w:p w:rsidR="009E7F60" w:rsidRPr="009D6EC8" w:rsidRDefault="009E7F60" w:rsidP="0046133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Fall</w:t>
            </w:r>
            <w:r w:rsidR="002C7DE2">
              <w:rPr>
                <w:rFonts w:cs="Arial"/>
                <w:i/>
              </w:rPr>
              <w:t xml:space="preserve"> 2021</w:t>
            </w:r>
          </w:p>
        </w:tc>
      </w:tr>
      <w:tr w:rsidR="002C7DE2" w:rsidRPr="009D6EC8" w:rsidTr="009E7F60">
        <w:tc>
          <w:tcPr>
            <w:tcW w:w="8275" w:type="dxa"/>
          </w:tcPr>
          <w:p w:rsidR="002C7DE2" w:rsidRDefault="002C7DE2" w:rsidP="009E7F6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3.  Develop </w:t>
            </w:r>
            <w:r w:rsidR="007C5BDA">
              <w:rPr>
                <w:rFonts w:cs="Arial"/>
                <w:i/>
              </w:rPr>
              <w:t xml:space="preserve">web-based </w:t>
            </w:r>
            <w:r>
              <w:rPr>
                <w:rFonts w:cs="Arial"/>
                <w:i/>
              </w:rPr>
              <w:t>tool</w:t>
            </w:r>
          </w:p>
        </w:tc>
        <w:tc>
          <w:tcPr>
            <w:tcW w:w="2201" w:type="dxa"/>
          </w:tcPr>
          <w:p w:rsidR="002C7DE2" w:rsidRDefault="002C7DE2" w:rsidP="002C7DE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Winter 2022 </w:t>
            </w:r>
          </w:p>
        </w:tc>
      </w:tr>
    </w:tbl>
    <w:p w:rsidR="007A6730" w:rsidRDefault="007A673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:rsidR="007A6730" w:rsidRDefault="007A673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 xml:space="preserve">Activity </w:t>
      </w:r>
      <w:r w:rsidR="002C7DE2">
        <w:rPr>
          <w:rFonts w:cs="Arial"/>
          <w:b/>
        </w:rPr>
        <w:t>3</w:t>
      </w:r>
      <w:r>
        <w:rPr>
          <w:rFonts w:cs="Arial"/>
          <w:b/>
        </w:rPr>
        <w:t xml:space="preserve">: </w:t>
      </w:r>
      <w:r w:rsidR="00843C7D">
        <w:rPr>
          <w:rFonts w:cs="Arial"/>
          <w:b/>
        </w:rPr>
        <w:t>Test</w:t>
      </w:r>
      <w:r w:rsidR="006C3872">
        <w:rPr>
          <w:rFonts w:cs="Arial"/>
          <w:b/>
        </w:rPr>
        <w:t>, publicize, and share the tool</w:t>
      </w:r>
    </w:p>
    <w:p w:rsidR="007A6730" w:rsidRDefault="00154F45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FD2853">
        <w:rPr>
          <w:rFonts w:cs="Arial"/>
        </w:rPr>
        <w:t xml:space="preserve">The tool will be evaluated and </w:t>
      </w:r>
      <w:r w:rsidR="00FD2853" w:rsidRPr="00FD2853">
        <w:rPr>
          <w:rFonts w:cs="Arial"/>
        </w:rPr>
        <w:t>tested on representative tracts of land in comparison</w:t>
      </w:r>
      <w:r w:rsidRPr="00FD2853">
        <w:rPr>
          <w:rFonts w:cs="Arial"/>
        </w:rPr>
        <w:t xml:space="preserve"> to other tools currently in use. </w:t>
      </w:r>
      <w:r w:rsidR="00FD2853">
        <w:rPr>
          <w:rFonts w:cs="Arial"/>
        </w:rPr>
        <w:t>Once vetted, the tool will be shared with local government partners, agricultural organizations, and private-sector companies interested in increasing their sustainability practices</w:t>
      </w:r>
      <w:r w:rsidR="00C31FA1">
        <w:rPr>
          <w:rFonts w:cs="Arial"/>
        </w:rPr>
        <w:t xml:space="preserve">.  </w:t>
      </w:r>
      <w:r w:rsidR="00A729C8">
        <w:rPr>
          <w:rFonts w:cs="Arial"/>
        </w:rPr>
        <w:t xml:space="preserve">At least three workshops and/or webinars will be scheduled through </w:t>
      </w:r>
      <w:proofErr w:type="spellStart"/>
      <w:r w:rsidR="00A729C8">
        <w:rPr>
          <w:rFonts w:cs="Arial"/>
        </w:rPr>
        <w:t>BWSR’s</w:t>
      </w:r>
      <w:proofErr w:type="spellEnd"/>
      <w:r w:rsidR="00A729C8">
        <w:rPr>
          <w:rFonts w:cs="Arial"/>
        </w:rPr>
        <w:t xml:space="preserve"> existing training program for conservation professionals.</w:t>
      </w:r>
      <w:r w:rsidR="00F434E3">
        <w:rPr>
          <w:rFonts w:cs="Arial"/>
        </w:rPr>
        <w:t xml:space="preserve">  The </w:t>
      </w:r>
      <w:r w:rsidR="00EC6B16">
        <w:rPr>
          <w:rFonts w:cs="Arial"/>
        </w:rPr>
        <w:t>MN Geospatial Commons</w:t>
      </w:r>
      <w:r w:rsidR="00F434E3">
        <w:rPr>
          <w:rFonts w:cs="Arial"/>
        </w:rPr>
        <w:t xml:space="preserve"> website</w:t>
      </w:r>
      <w:r w:rsidR="00EC6B16">
        <w:rPr>
          <w:rFonts w:cs="Arial"/>
        </w:rPr>
        <w:t xml:space="preserve"> would be the preferred host for the tool; budget includes </w:t>
      </w:r>
      <w:proofErr w:type="spellStart"/>
      <w:r w:rsidR="00EC6B16">
        <w:rPr>
          <w:rFonts w:cs="Arial"/>
        </w:rPr>
        <w:t>MnGEO</w:t>
      </w:r>
      <w:proofErr w:type="spellEnd"/>
      <w:r w:rsidR="00EC6B16">
        <w:rPr>
          <w:rFonts w:cs="Arial"/>
        </w:rPr>
        <w:t xml:space="preserve"> coordination.</w:t>
      </w:r>
    </w:p>
    <w:p w:rsidR="00AA0B8B" w:rsidRPr="00AA0B8B" w:rsidRDefault="00AA0B8B" w:rsidP="00AA0B8B">
      <w:pPr>
        <w:autoSpaceDE w:val="0"/>
        <w:autoSpaceDN w:val="0"/>
        <w:adjustRightInd w:val="0"/>
        <w:spacing w:before="60"/>
        <w:rPr>
          <w:rFonts w:cs="Arial"/>
          <w:b/>
          <w:bCs/>
          <w:color w:val="000000"/>
        </w:rPr>
      </w:pPr>
      <w:proofErr w:type="spellStart"/>
      <w:r w:rsidRPr="008523FB">
        <w:rPr>
          <w:rFonts w:cs="Arial"/>
          <w:b/>
          <w:bCs/>
          <w:color w:val="000000"/>
        </w:rPr>
        <w:t>ENRTF</w:t>
      </w:r>
      <w:proofErr w:type="spellEnd"/>
      <w:r w:rsidRPr="008523FB">
        <w:rPr>
          <w:rFonts w:cs="Arial"/>
          <w:b/>
          <w:bCs/>
          <w:color w:val="000000"/>
        </w:rPr>
        <w:t xml:space="preserve"> BUDGET: </w:t>
      </w:r>
      <w:r>
        <w:rPr>
          <w:rFonts w:cs="Arial"/>
          <w:b/>
          <w:bCs/>
          <w:color w:val="000000"/>
        </w:rPr>
        <w:t xml:space="preserve"> </w:t>
      </w:r>
      <w:r w:rsidRPr="008523FB">
        <w:rPr>
          <w:rFonts w:cs="Arial"/>
          <w:b/>
          <w:bCs/>
          <w:color w:val="000000"/>
        </w:rPr>
        <w:t>$</w:t>
      </w:r>
      <w:r w:rsidR="00EC6B16">
        <w:rPr>
          <w:rFonts w:cs="Arial"/>
          <w:b/>
          <w:bCs/>
          <w:color w:val="000000"/>
        </w:rPr>
        <w:t>88</w:t>
      </w:r>
      <w:r w:rsidRPr="008523FB">
        <w:rPr>
          <w:rFonts w:cs="Arial"/>
          <w:b/>
          <w:bCs/>
          <w:color w:val="000000"/>
        </w:rPr>
        <w:t>,000</w:t>
      </w:r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2201"/>
      </w:tblGrid>
      <w:tr w:rsidR="00470C08" w:rsidRPr="009D6EC8" w:rsidTr="00461338">
        <w:tc>
          <w:tcPr>
            <w:tcW w:w="8275" w:type="dxa"/>
          </w:tcPr>
          <w:p w:rsidR="00470C08" w:rsidRPr="009D6EC8" w:rsidRDefault="00470C08" w:rsidP="00461338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2201" w:type="dxa"/>
          </w:tcPr>
          <w:p w:rsidR="00470C08" w:rsidRPr="009D6EC8" w:rsidRDefault="00470C08" w:rsidP="00461338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470C08" w:rsidRPr="009D6EC8" w:rsidTr="00461338">
        <w:tc>
          <w:tcPr>
            <w:tcW w:w="8275" w:type="dxa"/>
          </w:tcPr>
          <w:p w:rsidR="00470C08" w:rsidRPr="009D6EC8" w:rsidRDefault="00470C08" w:rsidP="007C5BD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1.  </w:t>
            </w:r>
            <w:r w:rsidR="007C5BDA">
              <w:rPr>
                <w:rFonts w:cs="Arial"/>
                <w:i/>
              </w:rPr>
              <w:t>Testing and validation of tool</w:t>
            </w:r>
            <w:r w:rsidR="00821B37">
              <w:rPr>
                <w:rFonts w:cs="Arial"/>
                <w:i/>
              </w:rPr>
              <w:t>, website integration</w:t>
            </w:r>
          </w:p>
        </w:tc>
        <w:tc>
          <w:tcPr>
            <w:tcW w:w="2201" w:type="dxa"/>
          </w:tcPr>
          <w:p w:rsidR="00470C08" w:rsidRPr="009D6EC8" w:rsidRDefault="007C5BDA" w:rsidP="007C5BD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2022</w:t>
            </w:r>
          </w:p>
        </w:tc>
      </w:tr>
      <w:tr w:rsidR="00470C08" w:rsidRPr="009D6EC8" w:rsidTr="00461338">
        <w:tc>
          <w:tcPr>
            <w:tcW w:w="8275" w:type="dxa"/>
          </w:tcPr>
          <w:p w:rsidR="00470C08" w:rsidRPr="009D6EC8" w:rsidRDefault="00470C08" w:rsidP="007C5BDA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Pr="009D6EC8">
              <w:rPr>
                <w:rFonts w:cs="Arial"/>
                <w:i/>
              </w:rPr>
              <w:t xml:space="preserve">.  </w:t>
            </w:r>
            <w:r w:rsidR="007C5BDA">
              <w:rPr>
                <w:rFonts w:cs="Arial"/>
                <w:i/>
              </w:rPr>
              <w:t>Dissemination to partners, training and outreach</w:t>
            </w:r>
          </w:p>
        </w:tc>
        <w:tc>
          <w:tcPr>
            <w:tcW w:w="2201" w:type="dxa"/>
          </w:tcPr>
          <w:p w:rsidR="00470C08" w:rsidRPr="009D6EC8" w:rsidRDefault="007C5BDA" w:rsidP="0046133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Summer-Fall 2022</w:t>
            </w:r>
          </w:p>
        </w:tc>
      </w:tr>
      <w:tr w:rsidR="00470C08" w:rsidRPr="009D6EC8" w:rsidTr="00461338">
        <w:tc>
          <w:tcPr>
            <w:tcW w:w="8275" w:type="dxa"/>
          </w:tcPr>
          <w:p w:rsidR="00470C08" w:rsidRDefault="00470C08" w:rsidP="00821B37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3.  </w:t>
            </w:r>
            <w:r w:rsidR="00821B37">
              <w:rPr>
                <w:rFonts w:cs="Arial"/>
                <w:i/>
              </w:rPr>
              <w:t>Share project results; d</w:t>
            </w:r>
            <w:r w:rsidR="007C5BDA">
              <w:rPr>
                <w:rFonts w:cs="Arial"/>
                <w:i/>
              </w:rPr>
              <w:t>evelop schedule and method for updates</w:t>
            </w:r>
          </w:p>
        </w:tc>
        <w:tc>
          <w:tcPr>
            <w:tcW w:w="2201" w:type="dxa"/>
          </w:tcPr>
          <w:p w:rsidR="00470C08" w:rsidRDefault="007C5BDA" w:rsidP="0046133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Winter 2023</w:t>
            </w:r>
            <w:r w:rsidR="00470C08">
              <w:rPr>
                <w:rFonts w:cs="Arial"/>
                <w:i/>
              </w:rPr>
              <w:t xml:space="preserve"> </w:t>
            </w:r>
          </w:p>
        </w:tc>
      </w:tr>
    </w:tbl>
    <w:p w:rsidR="007A6730" w:rsidRDefault="007A673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:rsidR="002C7DE2" w:rsidRDefault="002C7DE2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Partners receiving </w:t>
      </w:r>
      <w:proofErr w:type="spellStart"/>
      <w:r>
        <w:rPr>
          <w:rFonts w:cs="Arial"/>
          <w:b/>
          <w:bCs/>
          <w:color w:val="000000"/>
        </w:rPr>
        <w:t>ENRTF</w:t>
      </w:r>
      <w:proofErr w:type="spellEnd"/>
      <w:r>
        <w:rPr>
          <w:rFonts w:cs="Arial"/>
          <w:b/>
          <w:bCs/>
          <w:color w:val="000000"/>
        </w:rPr>
        <w:t xml:space="preserve"> funding</w:t>
      </w:r>
    </w:p>
    <w:p w:rsidR="002C7DE2" w:rsidRPr="00AC42A5" w:rsidRDefault="00AA0B8B" w:rsidP="00AC42A5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AC42A5">
        <w:rPr>
          <w:rFonts w:cs="Arial"/>
          <w:bCs/>
          <w:color w:val="000000"/>
        </w:rPr>
        <w:t>BWS</w:t>
      </w:r>
      <w:r w:rsidR="00DF7DEC" w:rsidRPr="00AC42A5">
        <w:rPr>
          <w:rFonts w:cs="Arial"/>
          <w:bCs/>
          <w:color w:val="000000"/>
        </w:rPr>
        <w:t xml:space="preserve">R Project Coordinator </w:t>
      </w:r>
      <w:r w:rsidR="00AC42A5">
        <w:rPr>
          <w:rFonts w:cs="Arial"/>
          <w:bCs/>
          <w:color w:val="000000"/>
        </w:rPr>
        <w:t>(</w:t>
      </w:r>
      <w:r w:rsidR="0036762E">
        <w:rPr>
          <w:rFonts w:cs="Arial"/>
          <w:bCs/>
          <w:color w:val="000000"/>
        </w:rPr>
        <w:t>10</w:t>
      </w:r>
      <w:r w:rsidR="00AC42A5">
        <w:rPr>
          <w:rFonts w:cs="Arial"/>
          <w:bCs/>
          <w:color w:val="000000"/>
        </w:rPr>
        <w:t>% time</w:t>
      </w:r>
      <w:r w:rsidR="005944C6">
        <w:rPr>
          <w:rFonts w:cs="Arial"/>
          <w:bCs/>
          <w:color w:val="000000"/>
        </w:rPr>
        <w:t xml:space="preserve"> – unclassified position)</w:t>
      </w:r>
    </w:p>
    <w:p w:rsidR="00AA0B8B" w:rsidRDefault="00AA0B8B" w:rsidP="00AC42A5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AC42A5">
        <w:rPr>
          <w:rFonts w:cs="Arial"/>
          <w:bCs/>
          <w:color w:val="000000"/>
        </w:rPr>
        <w:t>Model and Tool Development (consultant TBD</w:t>
      </w:r>
      <w:r w:rsidR="005944C6">
        <w:rPr>
          <w:rFonts w:cs="Arial"/>
          <w:bCs/>
          <w:color w:val="000000"/>
        </w:rPr>
        <w:t>; an RFP will be issued</w:t>
      </w:r>
      <w:r w:rsidRPr="00AC42A5">
        <w:rPr>
          <w:rFonts w:cs="Arial"/>
          <w:bCs/>
          <w:color w:val="000000"/>
        </w:rPr>
        <w:t>)</w:t>
      </w:r>
    </w:p>
    <w:p w:rsidR="00B50650" w:rsidRPr="00AC42A5" w:rsidRDefault="00B50650" w:rsidP="00B50650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12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MNIT Services – </w:t>
      </w:r>
      <w:proofErr w:type="spellStart"/>
      <w:r>
        <w:rPr>
          <w:rFonts w:cs="Arial"/>
          <w:bCs/>
          <w:color w:val="000000"/>
        </w:rPr>
        <w:t>MnGEO</w:t>
      </w:r>
      <w:proofErr w:type="spellEnd"/>
      <w:r>
        <w:rPr>
          <w:rFonts w:cs="Arial"/>
          <w:bCs/>
          <w:color w:val="000000"/>
        </w:rPr>
        <w:t xml:space="preserve"> (integration and web hosting) </w:t>
      </w:r>
      <w:bookmarkStart w:id="0" w:name="_GoBack"/>
      <w:bookmarkEnd w:id="0"/>
    </w:p>
    <w:p w:rsidR="002C7DE2" w:rsidRDefault="002C7DE2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Partners not receiving </w:t>
      </w:r>
      <w:proofErr w:type="spellStart"/>
      <w:r>
        <w:rPr>
          <w:rFonts w:cs="Arial"/>
          <w:b/>
          <w:bCs/>
          <w:color w:val="000000"/>
        </w:rPr>
        <w:t>ENRTF</w:t>
      </w:r>
      <w:proofErr w:type="spellEnd"/>
      <w:r>
        <w:rPr>
          <w:rFonts w:cs="Arial"/>
          <w:b/>
          <w:bCs/>
          <w:color w:val="000000"/>
        </w:rPr>
        <w:t xml:space="preserve"> funding</w:t>
      </w:r>
    </w:p>
    <w:p w:rsidR="00C31FA1" w:rsidRPr="00073C96" w:rsidRDefault="00C31FA1" w:rsidP="00F434E3">
      <w:pPr>
        <w:tabs>
          <w:tab w:val="left" w:pos="540"/>
        </w:tabs>
        <w:autoSpaceDE w:val="0"/>
        <w:autoSpaceDN w:val="0"/>
        <w:adjustRightInd w:val="0"/>
        <w:spacing w:after="120"/>
        <w:rPr>
          <w:rFonts w:cs="Arial"/>
          <w:b/>
          <w:bCs/>
          <w:color w:val="000000"/>
        </w:rPr>
      </w:pPr>
      <w:r w:rsidRPr="007A6730">
        <w:rPr>
          <w:rFonts w:cs="Arial"/>
        </w:rPr>
        <w:t xml:space="preserve">Minnesota Department of Agriculture, Pollution Control Agency, Department of Natural Resources, </w:t>
      </w:r>
      <w:r w:rsidR="007C5BDA">
        <w:rPr>
          <w:rFonts w:cs="Arial"/>
        </w:rPr>
        <w:t xml:space="preserve">MNIT, </w:t>
      </w:r>
      <w:r w:rsidRPr="007A6730">
        <w:rPr>
          <w:rFonts w:cs="Arial"/>
        </w:rPr>
        <w:t xml:space="preserve">Natural Resources Conservation Service, University of Minnesota Water Resources Center, </w:t>
      </w:r>
      <w:r w:rsidR="007733CF">
        <w:rPr>
          <w:rFonts w:cs="Arial"/>
        </w:rPr>
        <w:t>The Nature Conservancy</w:t>
      </w:r>
      <w:r w:rsidR="005944C6">
        <w:rPr>
          <w:rFonts w:cs="Arial"/>
        </w:rPr>
        <w:t xml:space="preserve"> and the World Resources Institute.</w:t>
      </w:r>
      <w:r w:rsidRPr="007A6730">
        <w:rPr>
          <w:rFonts w:cs="Arial"/>
        </w:rPr>
        <w:t xml:space="preserve"> </w:t>
      </w:r>
    </w:p>
    <w:p w:rsidR="005431D4" w:rsidRDefault="005431D4" w:rsidP="00DD1EC4">
      <w:pPr>
        <w:tabs>
          <w:tab w:val="left" w:pos="540"/>
        </w:tabs>
        <w:autoSpaceDE w:val="0"/>
        <w:autoSpaceDN w:val="0"/>
        <w:adjustRightInd w:val="0"/>
        <w:spacing w:before="12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:rsidR="00BE1778" w:rsidRPr="00BE1778" w:rsidRDefault="00BE177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This project </w:t>
      </w:r>
      <w:r w:rsidR="00A729C8">
        <w:rPr>
          <w:rFonts w:cs="Arial"/>
          <w:bCs/>
          <w:color w:val="000000"/>
        </w:rPr>
        <w:t xml:space="preserve">will be completed within the three-year time frame specified by </w:t>
      </w:r>
      <w:proofErr w:type="spellStart"/>
      <w:r w:rsidR="00A729C8">
        <w:rPr>
          <w:rFonts w:cs="Arial"/>
          <w:bCs/>
          <w:color w:val="000000"/>
        </w:rPr>
        <w:t>LCCMR</w:t>
      </w:r>
      <w:proofErr w:type="spellEnd"/>
      <w:r w:rsidR="00A729C8">
        <w:rPr>
          <w:rFonts w:cs="Arial"/>
          <w:bCs/>
          <w:color w:val="000000"/>
        </w:rPr>
        <w:t xml:space="preserve">, but the model and inventory will continue to be updated. Management of land in long-term protection and conservation practices is not static: practices come and go, and </w:t>
      </w:r>
      <w:proofErr w:type="spellStart"/>
      <w:r w:rsidR="00821B37">
        <w:rPr>
          <w:rFonts w:cs="Arial"/>
          <w:bCs/>
          <w:color w:val="000000"/>
        </w:rPr>
        <w:t>GHG</w:t>
      </w:r>
      <w:proofErr w:type="spellEnd"/>
      <w:r w:rsidR="00821B37">
        <w:rPr>
          <w:rFonts w:cs="Arial"/>
          <w:bCs/>
          <w:color w:val="000000"/>
        </w:rPr>
        <w:t xml:space="preserve"> </w:t>
      </w:r>
      <w:r w:rsidR="00A729C8">
        <w:rPr>
          <w:rFonts w:cs="Arial"/>
          <w:bCs/>
          <w:color w:val="000000"/>
        </w:rPr>
        <w:t xml:space="preserve">benefits can decline as ecosystems mature.  </w:t>
      </w:r>
      <w:r>
        <w:rPr>
          <w:rFonts w:cs="Arial"/>
          <w:bCs/>
          <w:color w:val="000000"/>
        </w:rPr>
        <w:t xml:space="preserve">Once the model and database are established, </w:t>
      </w:r>
      <w:r w:rsidR="002C3E4A">
        <w:rPr>
          <w:rFonts w:cs="Arial"/>
          <w:bCs/>
          <w:color w:val="000000"/>
        </w:rPr>
        <w:t xml:space="preserve">BWSR staff will make regular </w:t>
      </w:r>
      <w:r w:rsidR="00C64F4D">
        <w:rPr>
          <w:rFonts w:cs="Arial"/>
          <w:bCs/>
          <w:color w:val="000000"/>
        </w:rPr>
        <w:t>updates</w:t>
      </w:r>
      <w:r w:rsidR="00A729C8">
        <w:rPr>
          <w:rFonts w:cs="Arial"/>
          <w:bCs/>
          <w:color w:val="000000"/>
        </w:rPr>
        <w:t xml:space="preserve"> </w:t>
      </w:r>
      <w:r w:rsidR="00C64F4D">
        <w:rPr>
          <w:rFonts w:cs="Arial"/>
          <w:bCs/>
          <w:color w:val="000000"/>
        </w:rPr>
        <w:t>coordinated</w:t>
      </w:r>
      <w:r w:rsidR="002C3E4A">
        <w:rPr>
          <w:rFonts w:cs="Arial"/>
          <w:bCs/>
          <w:color w:val="000000"/>
        </w:rPr>
        <w:t xml:space="preserve"> with </w:t>
      </w:r>
      <w:proofErr w:type="spellStart"/>
      <w:r w:rsidR="002C3E4A">
        <w:rPr>
          <w:rFonts w:cs="Arial"/>
          <w:bCs/>
          <w:color w:val="000000"/>
        </w:rPr>
        <w:t>MPCA’</w:t>
      </w:r>
      <w:r w:rsidR="00C64F4D">
        <w:rPr>
          <w:rFonts w:cs="Arial"/>
          <w:bCs/>
          <w:color w:val="000000"/>
        </w:rPr>
        <w:t>s</w:t>
      </w:r>
      <w:proofErr w:type="spellEnd"/>
      <w:r w:rsidR="00C64F4D">
        <w:rPr>
          <w:rFonts w:cs="Arial"/>
          <w:bCs/>
          <w:color w:val="000000"/>
        </w:rPr>
        <w:t xml:space="preserve"> greenhouse gas emissions reporting</w:t>
      </w:r>
      <w:r>
        <w:rPr>
          <w:rFonts w:cs="Arial"/>
          <w:bCs/>
          <w:color w:val="000000"/>
        </w:rPr>
        <w:t xml:space="preserve">.  </w:t>
      </w:r>
    </w:p>
    <w:p w:rsidR="00C02DAD" w:rsidRDefault="0029726A" w:rsidP="002C3E4A">
      <w:pPr>
        <w:tabs>
          <w:tab w:val="left" w:pos="540"/>
        </w:tabs>
        <w:autoSpaceDE w:val="0"/>
        <w:autoSpaceDN w:val="0"/>
        <w:adjustRightInd w:val="0"/>
        <w:spacing w:before="12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:rsidR="00C02DAD" w:rsidRPr="002C3E4A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 w:rsidRPr="002C3E4A">
        <w:rPr>
          <w:rFonts w:cs="Arial"/>
          <w:b/>
          <w:iCs/>
          <w:color w:val="000000"/>
        </w:rPr>
        <w:t xml:space="preserve">Proposal Budget Spreadsheet </w:t>
      </w:r>
    </w:p>
    <w:p w:rsidR="00C02DAD" w:rsidRPr="002C3E4A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2C3E4A">
        <w:rPr>
          <w:rFonts w:cs="Arial"/>
          <w:b/>
          <w:iCs/>
          <w:color w:val="000000"/>
        </w:rPr>
        <w:t>B. Visual Component or Map</w:t>
      </w:r>
    </w:p>
    <w:p w:rsidR="00F9232B" w:rsidRPr="002C3E4A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2C3E4A">
        <w:rPr>
          <w:rFonts w:cs="Arial"/>
          <w:b/>
          <w:iCs/>
          <w:color w:val="000000"/>
        </w:rPr>
        <w:t>F</w:t>
      </w:r>
      <w:r w:rsidR="00F9232B" w:rsidRPr="002C3E4A">
        <w:rPr>
          <w:rFonts w:cs="Arial"/>
          <w:b/>
          <w:iCs/>
          <w:color w:val="000000"/>
        </w:rPr>
        <w:t>. Project Manager Qualifications and Organization Description</w:t>
      </w:r>
    </w:p>
    <w:p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38" w:rsidRDefault="00461338" w:rsidP="00533120">
      <w:r>
        <w:separator/>
      </w:r>
    </w:p>
  </w:endnote>
  <w:endnote w:type="continuationSeparator" w:id="0">
    <w:p w:rsidR="00461338" w:rsidRDefault="00461338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38" w:rsidRDefault="004613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38" w:rsidRDefault="004613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0650">
      <w:rPr>
        <w:noProof/>
      </w:rPr>
      <w:t>1</w:t>
    </w:r>
    <w:r>
      <w:fldChar w:fldCharType="end"/>
    </w:r>
  </w:p>
  <w:p w:rsidR="00461338" w:rsidRDefault="004613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38" w:rsidRDefault="00461338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61338" w:rsidRDefault="00461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38" w:rsidRDefault="00461338" w:rsidP="00533120">
      <w:r>
        <w:separator/>
      </w:r>
    </w:p>
  </w:footnote>
  <w:footnote w:type="continuationSeparator" w:id="0">
    <w:p w:rsidR="00461338" w:rsidRDefault="00461338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38" w:rsidRDefault="004613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461338" w:rsidTr="00E47145">
      <w:tc>
        <w:tcPr>
          <w:tcW w:w="1278" w:type="dxa"/>
        </w:tcPr>
        <w:p w:rsidR="00461338" w:rsidRPr="00EB5831" w:rsidRDefault="00461338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461338" w:rsidRPr="00A42E60" w:rsidRDefault="00461338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</w:t>
          </w:r>
          <w:proofErr w:type="spellStart"/>
          <w:r w:rsidRPr="00A42E60">
            <w:rPr>
              <w:b/>
            </w:rPr>
            <w:t>ENRTF</w:t>
          </w:r>
          <w:proofErr w:type="spellEnd"/>
          <w:r w:rsidRPr="00A42E60">
            <w:rPr>
              <w:b/>
            </w:rPr>
            <w:t>)</w:t>
          </w:r>
        </w:p>
        <w:p w:rsidR="00461338" w:rsidRPr="00EB5831" w:rsidRDefault="00461338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:rsidR="00461338" w:rsidRPr="00EB5831" w:rsidRDefault="00461338" w:rsidP="00EB5831">
          <w:pPr>
            <w:pStyle w:val="Header"/>
            <w:rPr>
              <w:lang w:val="en-US" w:eastAsia="en-US"/>
            </w:rPr>
          </w:pPr>
        </w:p>
      </w:tc>
    </w:tr>
  </w:tbl>
  <w:p w:rsidR="00461338" w:rsidRPr="00A42E60" w:rsidRDefault="00461338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461338" w:rsidTr="00C660F0">
      <w:tc>
        <w:tcPr>
          <w:tcW w:w="1098" w:type="dxa"/>
        </w:tcPr>
        <w:p w:rsidR="00461338" w:rsidRPr="00EB5831" w:rsidRDefault="00461338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461338" w:rsidRPr="00A42E60" w:rsidRDefault="00461338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</w:t>
          </w:r>
          <w:proofErr w:type="spellStart"/>
          <w:r w:rsidRPr="00A42E60">
            <w:rPr>
              <w:b/>
            </w:rPr>
            <w:t>ENRTF</w:t>
          </w:r>
          <w:proofErr w:type="spellEnd"/>
          <w:r w:rsidRPr="00A42E60">
            <w:rPr>
              <w:b/>
            </w:rPr>
            <w:t>)</w:t>
          </w:r>
        </w:p>
        <w:p w:rsidR="00461338" w:rsidRPr="00EB5831" w:rsidRDefault="00461338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461338" w:rsidRPr="00EB5831" w:rsidRDefault="00461338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461338" w:rsidRPr="00F96203" w:rsidRDefault="0046133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3C7B"/>
    <w:multiLevelType w:val="hybridMultilevel"/>
    <w:tmpl w:val="0B10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2FD53308"/>
    <w:multiLevelType w:val="hybridMultilevel"/>
    <w:tmpl w:val="D48CB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3767349"/>
    <w:multiLevelType w:val="hybridMultilevel"/>
    <w:tmpl w:val="164A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704EF"/>
    <w:multiLevelType w:val="hybridMultilevel"/>
    <w:tmpl w:val="0D0E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33F7C"/>
    <w:multiLevelType w:val="hybridMultilevel"/>
    <w:tmpl w:val="78DC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42FF2"/>
    <w:multiLevelType w:val="hybridMultilevel"/>
    <w:tmpl w:val="20B4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6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7" w15:restartNumberingAfterBreak="0">
    <w:nsid w:val="6B196FB2"/>
    <w:multiLevelType w:val="hybridMultilevel"/>
    <w:tmpl w:val="8CBC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6"/>
  </w:num>
  <w:num w:numId="6">
    <w:abstractNumId w:val="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1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573C9"/>
    <w:rsid w:val="00061EF5"/>
    <w:rsid w:val="00062497"/>
    <w:rsid w:val="00065366"/>
    <w:rsid w:val="00073C96"/>
    <w:rsid w:val="000B34BA"/>
    <w:rsid w:val="000C3EF3"/>
    <w:rsid w:val="000D7F31"/>
    <w:rsid w:val="00100A34"/>
    <w:rsid w:val="00107495"/>
    <w:rsid w:val="001225BC"/>
    <w:rsid w:val="00154F45"/>
    <w:rsid w:val="00165716"/>
    <w:rsid w:val="0018005E"/>
    <w:rsid w:val="00185D02"/>
    <w:rsid w:val="00186FCC"/>
    <w:rsid w:val="001B0368"/>
    <w:rsid w:val="001E42AC"/>
    <w:rsid w:val="002159DD"/>
    <w:rsid w:val="00217C2A"/>
    <w:rsid w:val="00290E4E"/>
    <w:rsid w:val="0029726A"/>
    <w:rsid w:val="002B1CD7"/>
    <w:rsid w:val="002B469A"/>
    <w:rsid w:val="002C3E4A"/>
    <w:rsid w:val="002C4052"/>
    <w:rsid w:val="002C7DE2"/>
    <w:rsid w:val="003205A7"/>
    <w:rsid w:val="003239FE"/>
    <w:rsid w:val="00347E7A"/>
    <w:rsid w:val="00351EA6"/>
    <w:rsid w:val="00354888"/>
    <w:rsid w:val="003578A0"/>
    <w:rsid w:val="0036762E"/>
    <w:rsid w:val="0037310D"/>
    <w:rsid w:val="0039481E"/>
    <w:rsid w:val="003F32CA"/>
    <w:rsid w:val="00404B9C"/>
    <w:rsid w:val="0040658E"/>
    <w:rsid w:val="00427FA0"/>
    <w:rsid w:val="004357AE"/>
    <w:rsid w:val="004378CF"/>
    <w:rsid w:val="004530F7"/>
    <w:rsid w:val="00454495"/>
    <w:rsid w:val="00461338"/>
    <w:rsid w:val="00470C08"/>
    <w:rsid w:val="00487D08"/>
    <w:rsid w:val="0049103C"/>
    <w:rsid w:val="004A43B9"/>
    <w:rsid w:val="004A4BE4"/>
    <w:rsid w:val="004B6C7F"/>
    <w:rsid w:val="004E6113"/>
    <w:rsid w:val="00533120"/>
    <w:rsid w:val="005431D4"/>
    <w:rsid w:val="00550B29"/>
    <w:rsid w:val="00555E18"/>
    <w:rsid w:val="005648A9"/>
    <w:rsid w:val="005723E3"/>
    <w:rsid w:val="00585E54"/>
    <w:rsid w:val="005944C6"/>
    <w:rsid w:val="005A1D00"/>
    <w:rsid w:val="005A4FB1"/>
    <w:rsid w:val="005F0DBA"/>
    <w:rsid w:val="005F1006"/>
    <w:rsid w:val="005F7237"/>
    <w:rsid w:val="00602068"/>
    <w:rsid w:val="00613B45"/>
    <w:rsid w:val="00614DF2"/>
    <w:rsid w:val="00640A9A"/>
    <w:rsid w:val="006435A6"/>
    <w:rsid w:val="006447C4"/>
    <w:rsid w:val="006562F0"/>
    <w:rsid w:val="00686B53"/>
    <w:rsid w:val="006C3872"/>
    <w:rsid w:val="006E0EFD"/>
    <w:rsid w:val="006F7F24"/>
    <w:rsid w:val="00721661"/>
    <w:rsid w:val="00731A65"/>
    <w:rsid w:val="00750940"/>
    <w:rsid w:val="007733CF"/>
    <w:rsid w:val="007936A9"/>
    <w:rsid w:val="007A6730"/>
    <w:rsid w:val="007B284F"/>
    <w:rsid w:val="007B3535"/>
    <w:rsid w:val="007C5BDA"/>
    <w:rsid w:val="0080120D"/>
    <w:rsid w:val="00806460"/>
    <w:rsid w:val="008076FB"/>
    <w:rsid w:val="00821B37"/>
    <w:rsid w:val="00843C7D"/>
    <w:rsid w:val="008523FB"/>
    <w:rsid w:val="008949EE"/>
    <w:rsid w:val="008A088E"/>
    <w:rsid w:val="008A4498"/>
    <w:rsid w:val="008A5FD9"/>
    <w:rsid w:val="008D2242"/>
    <w:rsid w:val="00900EE0"/>
    <w:rsid w:val="00910DB8"/>
    <w:rsid w:val="00912C65"/>
    <w:rsid w:val="009541C4"/>
    <w:rsid w:val="0096149D"/>
    <w:rsid w:val="009A49DE"/>
    <w:rsid w:val="009B6749"/>
    <w:rsid w:val="009C4875"/>
    <w:rsid w:val="009D0E57"/>
    <w:rsid w:val="009D14B4"/>
    <w:rsid w:val="009D6EC8"/>
    <w:rsid w:val="009E7F60"/>
    <w:rsid w:val="00A03E0A"/>
    <w:rsid w:val="00A13F26"/>
    <w:rsid w:val="00A42E60"/>
    <w:rsid w:val="00A45A41"/>
    <w:rsid w:val="00A7257F"/>
    <w:rsid w:val="00A729C8"/>
    <w:rsid w:val="00A73B75"/>
    <w:rsid w:val="00AA0B8B"/>
    <w:rsid w:val="00AB22BD"/>
    <w:rsid w:val="00AB6CFF"/>
    <w:rsid w:val="00AC2C07"/>
    <w:rsid w:val="00AC2CDE"/>
    <w:rsid w:val="00AC42A5"/>
    <w:rsid w:val="00AD3337"/>
    <w:rsid w:val="00B50650"/>
    <w:rsid w:val="00B728BF"/>
    <w:rsid w:val="00B8369A"/>
    <w:rsid w:val="00B86A22"/>
    <w:rsid w:val="00BC28A6"/>
    <w:rsid w:val="00BE1778"/>
    <w:rsid w:val="00C02DAD"/>
    <w:rsid w:val="00C31FA1"/>
    <w:rsid w:val="00C64F4D"/>
    <w:rsid w:val="00C660F0"/>
    <w:rsid w:val="00C72BD9"/>
    <w:rsid w:val="00C82CD3"/>
    <w:rsid w:val="00C85E92"/>
    <w:rsid w:val="00C952E4"/>
    <w:rsid w:val="00CB652D"/>
    <w:rsid w:val="00CE20AC"/>
    <w:rsid w:val="00CE5E23"/>
    <w:rsid w:val="00D02E23"/>
    <w:rsid w:val="00D121DD"/>
    <w:rsid w:val="00D25619"/>
    <w:rsid w:val="00D27CC6"/>
    <w:rsid w:val="00D32CFB"/>
    <w:rsid w:val="00D41B23"/>
    <w:rsid w:val="00D65022"/>
    <w:rsid w:val="00DA453B"/>
    <w:rsid w:val="00DD1EC4"/>
    <w:rsid w:val="00DF7DEC"/>
    <w:rsid w:val="00E47145"/>
    <w:rsid w:val="00E5279E"/>
    <w:rsid w:val="00E619C4"/>
    <w:rsid w:val="00E76D57"/>
    <w:rsid w:val="00EB5831"/>
    <w:rsid w:val="00EC6B16"/>
    <w:rsid w:val="00F42507"/>
    <w:rsid w:val="00F434E3"/>
    <w:rsid w:val="00F70DE4"/>
    <w:rsid w:val="00F9232B"/>
    <w:rsid w:val="00F92864"/>
    <w:rsid w:val="00F96203"/>
    <w:rsid w:val="00F97C94"/>
    <w:rsid w:val="00FD285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06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58E"/>
    <w:pPr>
      <w:spacing w:after="200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58E"/>
    <w:rPr>
      <w:rFonts w:cs="Calibri"/>
    </w:rPr>
  </w:style>
  <w:style w:type="paragraph" w:styleId="NoSpacing">
    <w:name w:val="No Spacing"/>
    <w:uiPriority w:val="1"/>
    <w:qFormat/>
    <w:rsid w:val="008523F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Rhees, Suzanne (BWSR)</cp:lastModifiedBy>
  <cp:revision>11</cp:revision>
  <cp:lastPrinted>2019-04-12T15:35:00Z</cp:lastPrinted>
  <dcterms:created xsi:type="dcterms:W3CDTF">2019-03-15T14:19:00Z</dcterms:created>
  <dcterms:modified xsi:type="dcterms:W3CDTF">2019-04-12T19:26:00Z</dcterms:modified>
</cp:coreProperties>
</file>