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9493C" w14:textId="77777777" w:rsidR="005A4FB1" w:rsidRPr="00BF0B17" w:rsidRDefault="005A4FB1" w:rsidP="005A4FB1">
      <w:pPr>
        <w:jc w:val="center"/>
        <w:rPr>
          <w:rFonts w:cs="Arial"/>
        </w:rPr>
      </w:pPr>
    </w:p>
    <w:p w14:paraId="0BED646D" w14:textId="6CC71D49" w:rsidR="006E0EFD" w:rsidRPr="009D6EC8" w:rsidRDefault="006E0EFD" w:rsidP="006E0EFD">
      <w:pPr>
        <w:rPr>
          <w:rFonts w:cs="Arial"/>
        </w:rPr>
      </w:pPr>
      <w:r w:rsidRPr="009D6EC8">
        <w:rPr>
          <w:rFonts w:cs="Arial"/>
          <w:b/>
        </w:rPr>
        <w:t>PROJECT TITLE:</w:t>
      </w:r>
      <w:r w:rsidR="00AB493C">
        <w:rPr>
          <w:rFonts w:cs="Arial"/>
          <w:b/>
        </w:rPr>
        <w:t xml:space="preserve"> </w:t>
      </w:r>
      <w:r w:rsidR="007048CA">
        <w:rPr>
          <w:rFonts w:cs="Arial"/>
        </w:rPr>
        <w:t>Ticks! A Rising Threat in Minnesota</w:t>
      </w:r>
    </w:p>
    <w:p w14:paraId="2D324E64" w14:textId="77777777" w:rsidR="006E0EFD" w:rsidRPr="009D6EC8" w:rsidRDefault="006E0EFD" w:rsidP="006E0EFD">
      <w:pPr>
        <w:rPr>
          <w:rFonts w:cs="Arial"/>
        </w:rPr>
      </w:pPr>
      <w:r w:rsidRPr="009D6EC8">
        <w:rPr>
          <w:rFonts w:cs="Arial"/>
          <w:b/>
        </w:rPr>
        <w:t>I. PROJECT STATEMENT</w:t>
      </w:r>
    </w:p>
    <w:p w14:paraId="7DF60CEB" w14:textId="3267368E" w:rsidR="008D2242" w:rsidRDefault="004A6B2C" w:rsidP="007048CA">
      <w:pPr>
        <w:ind w:firstLine="720"/>
        <w:rPr>
          <w:rFonts w:cs="Arial"/>
        </w:rPr>
      </w:pPr>
      <w:r w:rsidRPr="007048CA">
        <w:rPr>
          <w:rFonts w:cs="Arial"/>
          <w:b/>
        </w:rPr>
        <w:t xml:space="preserve">Introductions of </w:t>
      </w:r>
      <w:r w:rsidR="006414D8" w:rsidRPr="007048CA">
        <w:rPr>
          <w:rFonts w:cs="Arial"/>
          <w:b/>
        </w:rPr>
        <w:t>in</w:t>
      </w:r>
      <w:r w:rsidR="00B364E5" w:rsidRPr="007048CA">
        <w:rPr>
          <w:rFonts w:cs="Arial"/>
          <w:b/>
        </w:rPr>
        <w:t>vasive species</w:t>
      </w:r>
      <w:r w:rsidR="002C74C6" w:rsidRPr="007048CA">
        <w:rPr>
          <w:rFonts w:cs="Arial"/>
          <w:b/>
        </w:rPr>
        <w:t xml:space="preserve"> are </w:t>
      </w:r>
      <w:r w:rsidRPr="007048CA">
        <w:rPr>
          <w:rFonts w:cs="Arial"/>
          <w:b/>
        </w:rPr>
        <w:t>increasing</w:t>
      </w:r>
      <w:r>
        <w:rPr>
          <w:rFonts w:cs="Arial"/>
        </w:rPr>
        <w:t>,</w:t>
      </w:r>
      <w:r w:rsidR="00711A24">
        <w:rPr>
          <w:rFonts w:cs="Arial"/>
        </w:rPr>
        <w:t xml:space="preserve"> </w:t>
      </w:r>
      <w:r w:rsidR="00E03EC8">
        <w:rPr>
          <w:rFonts w:cs="Arial"/>
        </w:rPr>
        <w:t xml:space="preserve">which is </w:t>
      </w:r>
      <w:r w:rsidR="00711A24">
        <w:rPr>
          <w:rFonts w:cs="Arial"/>
        </w:rPr>
        <w:t>well-</w:t>
      </w:r>
      <w:r w:rsidR="00496002">
        <w:rPr>
          <w:rFonts w:cs="Arial"/>
        </w:rPr>
        <w:t xml:space="preserve">documented </w:t>
      </w:r>
      <w:r w:rsidR="0066228A">
        <w:rPr>
          <w:rFonts w:cs="Arial"/>
        </w:rPr>
        <w:t xml:space="preserve">for </w:t>
      </w:r>
      <w:r w:rsidR="007E0ADA">
        <w:rPr>
          <w:rFonts w:cs="Arial"/>
        </w:rPr>
        <w:t>mosquito</w:t>
      </w:r>
      <w:r w:rsidR="005F0B5D">
        <w:rPr>
          <w:rFonts w:cs="Arial"/>
        </w:rPr>
        <w:t>es</w:t>
      </w:r>
      <w:r w:rsidR="00711A24">
        <w:rPr>
          <w:rFonts w:cs="Arial"/>
        </w:rPr>
        <w:t xml:space="preserve">, and </w:t>
      </w:r>
      <w:r w:rsidR="00736BE8">
        <w:rPr>
          <w:rFonts w:cs="Arial"/>
        </w:rPr>
        <w:t xml:space="preserve">Minnesota has </w:t>
      </w:r>
      <w:r w:rsidR="00F42243">
        <w:rPr>
          <w:rFonts w:cs="Arial"/>
        </w:rPr>
        <w:t xml:space="preserve">not remained untouched. </w:t>
      </w:r>
      <w:r w:rsidR="00AB493C">
        <w:rPr>
          <w:rFonts w:cs="Arial"/>
        </w:rPr>
        <w:t xml:space="preserve">The </w:t>
      </w:r>
      <w:r w:rsidR="00F42243">
        <w:rPr>
          <w:rFonts w:cs="Arial"/>
        </w:rPr>
        <w:t xml:space="preserve">detection of </w:t>
      </w:r>
      <w:r w:rsidR="00AB493C">
        <w:rPr>
          <w:rFonts w:cs="Arial"/>
        </w:rPr>
        <w:t>Asian longhorned tick</w:t>
      </w:r>
      <w:r>
        <w:rPr>
          <w:rFonts w:cs="Arial"/>
        </w:rPr>
        <w:t>s</w:t>
      </w:r>
      <w:r w:rsidR="00AB493C">
        <w:rPr>
          <w:rFonts w:cs="Arial"/>
        </w:rPr>
        <w:t xml:space="preserve"> in New Jersey in September, 2017</w:t>
      </w:r>
      <w:r w:rsidR="00F42243">
        <w:rPr>
          <w:rFonts w:cs="Arial"/>
        </w:rPr>
        <w:t xml:space="preserve"> was a stark reminder </w:t>
      </w:r>
      <w:r w:rsidR="005F4D6C">
        <w:rPr>
          <w:rFonts w:cs="Arial"/>
        </w:rPr>
        <w:t>that disease carrying arthropods pose a</w:t>
      </w:r>
      <w:r w:rsidR="00711A24">
        <w:rPr>
          <w:rFonts w:cs="Arial"/>
        </w:rPr>
        <w:t xml:space="preserve"> grow</w:t>
      </w:r>
      <w:r w:rsidR="005F4D6C">
        <w:rPr>
          <w:rFonts w:cs="Arial"/>
        </w:rPr>
        <w:t>ing threat</w:t>
      </w:r>
      <w:r w:rsidR="00AB493C">
        <w:rPr>
          <w:rFonts w:cs="Arial"/>
        </w:rPr>
        <w:t xml:space="preserve">. Within the year after </w:t>
      </w:r>
      <w:r w:rsidR="00711A24">
        <w:rPr>
          <w:rFonts w:cs="Arial"/>
        </w:rPr>
        <w:t>their</w:t>
      </w:r>
      <w:r w:rsidR="005F4D6C">
        <w:rPr>
          <w:rFonts w:cs="Arial"/>
        </w:rPr>
        <w:t xml:space="preserve"> </w:t>
      </w:r>
      <w:r w:rsidR="00AB493C">
        <w:rPr>
          <w:rFonts w:cs="Arial"/>
        </w:rPr>
        <w:t xml:space="preserve">initial detection, </w:t>
      </w:r>
      <w:r w:rsidR="005F4D6C">
        <w:rPr>
          <w:rFonts w:cs="Arial"/>
        </w:rPr>
        <w:t>Asian longhorned tick</w:t>
      </w:r>
      <w:r w:rsidR="00711A24">
        <w:rPr>
          <w:rFonts w:cs="Arial"/>
        </w:rPr>
        <w:t>s</w:t>
      </w:r>
      <w:r w:rsidR="005F4D6C">
        <w:rPr>
          <w:rFonts w:cs="Arial"/>
        </w:rPr>
        <w:t xml:space="preserve"> </w:t>
      </w:r>
      <w:r w:rsidR="00AB493C">
        <w:rPr>
          <w:rFonts w:cs="Arial"/>
        </w:rPr>
        <w:t xml:space="preserve">had been found in 8 other states: Arkansas, </w:t>
      </w:r>
      <w:r w:rsidR="00AB493C" w:rsidRPr="00AB493C">
        <w:rPr>
          <w:rFonts w:cs="Arial"/>
        </w:rPr>
        <w:t xml:space="preserve">Connecticut, Maryland, </w:t>
      </w:r>
      <w:r w:rsidR="00E8246A" w:rsidRPr="00AB493C">
        <w:rPr>
          <w:rFonts w:cs="Arial"/>
        </w:rPr>
        <w:t>New York,</w:t>
      </w:r>
      <w:r w:rsidR="00E8246A">
        <w:rPr>
          <w:rFonts w:cs="Arial"/>
        </w:rPr>
        <w:t xml:space="preserve"> North Carolina, </w:t>
      </w:r>
      <w:r w:rsidR="00AB493C" w:rsidRPr="00AB493C">
        <w:rPr>
          <w:rFonts w:cs="Arial"/>
        </w:rPr>
        <w:t xml:space="preserve">Pennsylvania, Virginia, and </w:t>
      </w:r>
      <w:bookmarkStart w:id="0" w:name="_GoBack"/>
      <w:bookmarkEnd w:id="0"/>
      <w:r w:rsidR="00AB493C" w:rsidRPr="00AB493C">
        <w:rPr>
          <w:rFonts w:cs="Arial"/>
        </w:rPr>
        <w:t>West Virginia</w:t>
      </w:r>
      <w:r w:rsidR="00AB493C">
        <w:rPr>
          <w:rFonts w:cs="Arial"/>
        </w:rPr>
        <w:t xml:space="preserve">. The arrival of this tick on American soil is predicted </w:t>
      </w:r>
      <w:r w:rsidR="00225EE7">
        <w:rPr>
          <w:rFonts w:cs="Arial"/>
        </w:rPr>
        <w:t xml:space="preserve">to </w:t>
      </w:r>
      <w:r w:rsidR="00AB493C">
        <w:rPr>
          <w:rFonts w:cs="Arial"/>
        </w:rPr>
        <w:t xml:space="preserve">have a major impact on wildlife, </w:t>
      </w:r>
      <w:r w:rsidR="0053005B">
        <w:rPr>
          <w:rFonts w:cs="Arial"/>
        </w:rPr>
        <w:t>livestock</w:t>
      </w:r>
      <w:r w:rsidR="00AB493C">
        <w:rPr>
          <w:rFonts w:cs="Arial"/>
        </w:rPr>
        <w:t>, and public health.</w:t>
      </w:r>
      <w:r w:rsidR="00E8246A">
        <w:rPr>
          <w:rFonts w:cs="Arial"/>
        </w:rPr>
        <w:t xml:space="preserve"> Because the homeland of this species extends into southern Siberia, it is </w:t>
      </w:r>
      <w:r w:rsidR="0053005B">
        <w:rPr>
          <w:rFonts w:cs="Arial"/>
        </w:rPr>
        <w:t>predicted</w:t>
      </w:r>
      <w:r w:rsidR="00E8246A">
        <w:rPr>
          <w:rFonts w:cs="Arial"/>
        </w:rPr>
        <w:t xml:space="preserve"> t</w:t>
      </w:r>
      <w:r w:rsidR="00AF1D30">
        <w:rPr>
          <w:rFonts w:cs="Arial"/>
        </w:rPr>
        <w:t>o</w:t>
      </w:r>
      <w:r w:rsidR="00E8246A">
        <w:rPr>
          <w:rFonts w:cs="Arial"/>
        </w:rPr>
        <w:t xml:space="preserve"> survive </w:t>
      </w:r>
      <w:r w:rsidR="003723DC">
        <w:rPr>
          <w:rFonts w:cs="Arial"/>
        </w:rPr>
        <w:t>winters</w:t>
      </w:r>
      <w:r w:rsidR="00E8246A">
        <w:rPr>
          <w:rFonts w:cs="Arial"/>
        </w:rPr>
        <w:t xml:space="preserve"> in </w:t>
      </w:r>
      <w:r w:rsidR="0053005B">
        <w:rPr>
          <w:rFonts w:cs="Arial"/>
        </w:rPr>
        <w:t xml:space="preserve">parts of </w:t>
      </w:r>
      <w:r w:rsidR="00E8246A">
        <w:rPr>
          <w:rFonts w:cs="Arial"/>
        </w:rPr>
        <w:t>Minnesota.</w:t>
      </w:r>
      <w:r w:rsidR="00D4484A">
        <w:rPr>
          <w:rFonts w:cs="Arial"/>
        </w:rPr>
        <w:t xml:space="preserve"> </w:t>
      </w:r>
    </w:p>
    <w:p w14:paraId="251B7D4E" w14:textId="23324B23" w:rsidR="00AB493C" w:rsidRDefault="000D51AD" w:rsidP="006E0EFD">
      <w:pPr>
        <w:rPr>
          <w:rFonts w:cs="Arial"/>
        </w:rPr>
      </w:pPr>
      <w:r>
        <w:rPr>
          <w:rFonts w:cs="Arial"/>
        </w:rPr>
        <w:tab/>
      </w:r>
      <w:r w:rsidR="00AB493C" w:rsidRPr="007048CA">
        <w:rPr>
          <w:rFonts w:cs="Arial"/>
          <w:b/>
        </w:rPr>
        <w:t>This tick is of concern for 3 reasons</w:t>
      </w:r>
      <w:r w:rsidR="00AB493C">
        <w:rPr>
          <w:rFonts w:cs="Arial"/>
        </w:rPr>
        <w:t xml:space="preserve">: </w:t>
      </w:r>
      <w:r w:rsidR="00FC1CE2">
        <w:rPr>
          <w:rFonts w:cs="Arial"/>
        </w:rPr>
        <w:t xml:space="preserve">1) </w:t>
      </w:r>
      <w:r w:rsidR="00A12E89">
        <w:rPr>
          <w:rFonts w:cs="Arial"/>
        </w:rPr>
        <w:t xml:space="preserve">Asian longhorned ticks in the US reproduce asexually, so females lay </w:t>
      </w:r>
      <w:r w:rsidR="00FC1CE2">
        <w:rPr>
          <w:rFonts w:cs="Arial"/>
        </w:rPr>
        <w:t>~</w:t>
      </w:r>
      <w:r w:rsidR="00A12E89">
        <w:rPr>
          <w:rFonts w:cs="Arial"/>
        </w:rPr>
        <w:t xml:space="preserve">2000 viable eggs without the need </w:t>
      </w:r>
      <w:r w:rsidR="00FC1CE2">
        <w:rPr>
          <w:rFonts w:cs="Arial"/>
        </w:rPr>
        <w:t>to mate</w:t>
      </w:r>
      <w:r w:rsidR="00A12E89">
        <w:rPr>
          <w:rFonts w:cs="Arial"/>
        </w:rPr>
        <w:t xml:space="preserve">. </w:t>
      </w:r>
      <w:r w:rsidR="00FC1CE2">
        <w:rPr>
          <w:rFonts w:cs="Arial"/>
        </w:rPr>
        <w:t>Host</w:t>
      </w:r>
      <w:r w:rsidR="00A12E89">
        <w:rPr>
          <w:rFonts w:cs="Arial"/>
        </w:rPr>
        <w:t xml:space="preserve"> animals rapidly develop high</w:t>
      </w:r>
      <w:r w:rsidR="002F52B6">
        <w:rPr>
          <w:rFonts w:cs="Arial"/>
        </w:rPr>
        <w:t xml:space="preserve"> tick</w:t>
      </w:r>
      <w:r w:rsidR="00A12E89">
        <w:rPr>
          <w:rFonts w:cs="Arial"/>
        </w:rPr>
        <w:t xml:space="preserve"> burdens, sufficient to cause anemia through blood loss</w:t>
      </w:r>
      <w:r w:rsidR="00FC1CE2">
        <w:rPr>
          <w:rFonts w:cs="Arial"/>
        </w:rPr>
        <w:t xml:space="preserve"> and</w:t>
      </w:r>
      <w:r w:rsidR="00DE5B41">
        <w:rPr>
          <w:rFonts w:cs="Arial"/>
        </w:rPr>
        <w:t xml:space="preserve"> reduc</w:t>
      </w:r>
      <w:r w:rsidR="00FC1CE2">
        <w:rPr>
          <w:rFonts w:cs="Arial"/>
        </w:rPr>
        <w:t>tion</w:t>
      </w:r>
      <w:r w:rsidR="00DE5B41">
        <w:rPr>
          <w:rFonts w:cs="Arial"/>
        </w:rPr>
        <w:t xml:space="preserve"> </w:t>
      </w:r>
      <w:r w:rsidR="00FC1CE2">
        <w:rPr>
          <w:rFonts w:cs="Arial"/>
        </w:rPr>
        <w:t xml:space="preserve">in </w:t>
      </w:r>
      <w:r w:rsidR="00DE5B41">
        <w:rPr>
          <w:rFonts w:cs="Arial"/>
        </w:rPr>
        <w:t>milk production by 25%.</w:t>
      </w:r>
      <w:r w:rsidR="0053005B">
        <w:rPr>
          <w:rFonts w:cs="Arial"/>
        </w:rPr>
        <w:t xml:space="preserve"> </w:t>
      </w:r>
      <w:r w:rsidR="00C12EB1">
        <w:rPr>
          <w:rFonts w:cs="Arial"/>
        </w:rPr>
        <w:t xml:space="preserve">2) </w:t>
      </w:r>
      <w:r w:rsidR="0053005B">
        <w:rPr>
          <w:rFonts w:cs="Arial"/>
        </w:rPr>
        <w:t>The</w:t>
      </w:r>
      <w:r w:rsidR="00A12E89">
        <w:rPr>
          <w:rFonts w:cs="Arial"/>
        </w:rPr>
        <w:t xml:space="preserve"> ticks feed on many </w:t>
      </w:r>
      <w:r w:rsidR="00C12EB1">
        <w:rPr>
          <w:rFonts w:cs="Arial"/>
        </w:rPr>
        <w:t>animal</w:t>
      </w:r>
      <w:r w:rsidR="00A12E89">
        <w:rPr>
          <w:rFonts w:cs="Arial"/>
        </w:rPr>
        <w:t xml:space="preserve">s including rodents, deer, </w:t>
      </w:r>
      <w:r w:rsidR="00AB371D">
        <w:rPr>
          <w:rFonts w:cs="Arial"/>
        </w:rPr>
        <w:t>birds</w:t>
      </w:r>
      <w:r w:rsidR="00896653">
        <w:rPr>
          <w:rFonts w:cs="Arial"/>
        </w:rPr>
        <w:t xml:space="preserve">, </w:t>
      </w:r>
      <w:r w:rsidR="00D818AC">
        <w:rPr>
          <w:rFonts w:cs="Arial"/>
        </w:rPr>
        <w:t>pets,</w:t>
      </w:r>
      <w:r w:rsidR="00FC1CE2">
        <w:rPr>
          <w:rFonts w:cs="Arial"/>
        </w:rPr>
        <w:t xml:space="preserve"> </w:t>
      </w:r>
      <w:r w:rsidR="00A12E89">
        <w:rPr>
          <w:rFonts w:cs="Arial"/>
        </w:rPr>
        <w:t>livestock</w:t>
      </w:r>
      <w:r w:rsidR="00D818AC">
        <w:rPr>
          <w:rFonts w:cs="Arial"/>
        </w:rPr>
        <w:t>, a</w:t>
      </w:r>
      <w:r w:rsidR="00A12E89">
        <w:rPr>
          <w:rFonts w:cs="Arial"/>
        </w:rPr>
        <w:t xml:space="preserve">nd people. </w:t>
      </w:r>
      <w:r w:rsidR="00AB371D">
        <w:rPr>
          <w:rFonts w:cs="Arial"/>
        </w:rPr>
        <w:t>A</w:t>
      </w:r>
      <w:r w:rsidR="00A12E89">
        <w:rPr>
          <w:rFonts w:cs="Arial"/>
        </w:rPr>
        <w:t xml:space="preserve">sexual reproduction </w:t>
      </w:r>
      <w:r w:rsidR="00AB371D">
        <w:rPr>
          <w:rFonts w:cs="Arial"/>
        </w:rPr>
        <w:t xml:space="preserve">combined </w:t>
      </w:r>
      <w:r w:rsidR="00A12E89">
        <w:rPr>
          <w:rFonts w:cs="Arial"/>
        </w:rPr>
        <w:t xml:space="preserve">with broad host preference means a single </w:t>
      </w:r>
      <w:r w:rsidR="00AB371D">
        <w:rPr>
          <w:rFonts w:cs="Arial"/>
        </w:rPr>
        <w:t xml:space="preserve">introduced </w:t>
      </w:r>
      <w:r w:rsidR="00A12E89">
        <w:rPr>
          <w:rFonts w:cs="Arial"/>
        </w:rPr>
        <w:t>tick can establish a flourishing population.</w:t>
      </w:r>
      <w:r w:rsidR="00C12EB1">
        <w:rPr>
          <w:rFonts w:cs="Arial"/>
        </w:rPr>
        <w:t xml:space="preserve"> 3)</w:t>
      </w:r>
      <w:r w:rsidR="00A12E89">
        <w:rPr>
          <w:rFonts w:cs="Arial"/>
        </w:rPr>
        <w:t xml:space="preserve"> In Asia, </w:t>
      </w:r>
      <w:r w:rsidR="00B364E5">
        <w:rPr>
          <w:rFonts w:cs="Arial"/>
        </w:rPr>
        <w:t xml:space="preserve">longhorned </w:t>
      </w:r>
      <w:r w:rsidR="00A12E89">
        <w:rPr>
          <w:rFonts w:cs="Arial"/>
        </w:rPr>
        <w:t>ticks transmit a wide variety of diseases including Lyme disease. It is uncertain what</w:t>
      </w:r>
      <w:r w:rsidR="002F52B6" w:rsidRPr="002F52B6">
        <w:rPr>
          <w:rFonts w:cs="Arial"/>
        </w:rPr>
        <w:t xml:space="preserve"> </w:t>
      </w:r>
      <w:r w:rsidR="002F52B6">
        <w:rPr>
          <w:rFonts w:cs="Arial"/>
        </w:rPr>
        <w:t>this tick could transmit</w:t>
      </w:r>
      <w:r w:rsidR="00A12E89">
        <w:rPr>
          <w:rFonts w:cs="Arial"/>
        </w:rPr>
        <w:t xml:space="preserve"> </w:t>
      </w:r>
      <w:r w:rsidR="002F52B6">
        <w:rPr>
          <w:rFonts w:cs="Arial"/>
        </w:rPr>
        <w:t xml:space="preserve">in </w:t>
      </w:r>
      <w:r w:rsidR="00A12E89">
        <w:rPr>
          <w:rFonts w:cs="Arial"/>
        </w:rPr>
        <w:t xml:space="preserve">North America, </w:t>
      </w:r>
      <w:r w:rsidR="00DE5B41">
        <w:rPr>
          <w:rFonts w:cs="Arial"/>
        </w:rPr>
        <w:t xml:space="preserve">but </w:t>
      </w:r>
      <w:r w:rsidR="0036087E">
        <w:rPr>
          <w:rFonts w:cs="Arial"/>
        </w:rPr>
        <w:t xml:space="preserve">candidates include </w:t>
      </w:r>
      <w:r w:rsidR="00265894">
        <w:rPr>
          <w:rFonts w:cs="Arial"/>
        </w:rPr>
        <w:t xml:space="preserve">deadly </w:t>
      </w:r>
      <w:r w:rsidR="0036087E">
        <w:rPr>
          <w:rFonts w:cs="Arial"/>
        </w:rPr>
        <w:t xml:space="preserve">Heartland </w:t>
      </w:r>
      <w:r w:rsidR="002F52B6">
        <w:rPr>
          <w:rFonts w:cs="Arial"/>
        </w:rPr>
        <w:t xml:space="preserve">and Powassan </w:t>
      </w:r>
      <w:r w:rsidR="00DE5B41">
        <w:rPr>
          <w:rFonts w:cs="Arial"/>
        </w:rPr>
        <w:t>virus, Lyme disease</w:t>
      </w:r>
      <w:r w:rsidR="0036087E">
        <w:rPr>
          <w:rFonts w:cs="Arial"/>
        </w:rPr>
        <w:t xml:space="preserve"> bacteria</w:t>
      </w:r>
      <w:r w:rsidR="00DE5B41">
        <w:rPr>
          <w:rFonts w:cs="Arial"/>
        </w:rPr>
        <w:t xml:space="preserve">, and </w:t>
      </w:r>
      <w:r w:rsidR="0036087E">
        <w:rPr>
          <w:rFonts w:cs="Arial"/>
        </w:rPr>
        <w:t xml:space="preserve">blood </w:t>
      </w:r>
      <w:r w:rsidR="00DE5B41">
        <w:rPr>
          <w:rFonts w:cs="Arial"/>
        </w:rPr>
        <w:t xml:space="preserve">parasites </w:t>
      </w:r>
      <w:r w:rsidR="0036087E">
        <w:rPr>
          <w:rFonts w:cs="Arial"/>
        </w:rPr>
        <w:t>(</w:t>
      </w:r>
      <w:r w:rsidR="0036087E">
        <w:rPr>
          <w:rFonts w:cs="Arial"/>
          <w:i/>
        </w:rPr>
        <w:t>Babesia</w:t>
      </w:r>
      <w:r w:rsidR="0036087E">
        <w:rPr>
          <w:rFonts w:cs="Arial"/>
        </w:rPr>
        <w:t>)</w:t>
      </w:r>
      <w:r w:rsidR="00864887">
        <w:rPr>
          <w:rFonts w:cs="Arial"/>
        </w:rPr>
        <w:t>, whi</w:t>
      </w:r>
      <w:r w:rsidR="00265894">
        <w:rPr>
          <w:rFonts w:cs="Arial"/>
        </w:rPr>
        <w:t>c</w:t>
      </w:r>
      <w:r w:rsidR="00864887">
        <w:rPr>
          <w:rFonts w:cs="Arial"/>
        </w:rPr>
        <w:t>h</w:t>
      </w:r>
      <w:r w:rsidR="0036087E">
        <w:rPr>
          <w:rFonts w:cs="Arial"/>
        </w:rPr>
        <w:t xml:space="preserve"> </w:t>
      </w:r>
      <w:r w:rsidR="00DE5B41">
        <w:rPr>
          <w:rFonts w:cs="Arial"/>
        </w:rPr>
        <w:t>are</w:t>
      </w:r>
      <w:r w:rsidR="00C831EF">
        <w:rPr>
          <w:rFonts w:cs="Arial"/>
        </w:rPr>
        <w:t xml:space="preserve"> closely related to agents the tick</w:t>
      </w:r>
      <w:r w:rsidR="00B364E5">
        <w:rPr>
          <w:rFonts w:cs="Arial"/>
        </w:rPr>
        <w:t>s</w:t>
      </w:r>
      <w:r w:rsidR="00C831EF">
        <w:rPr>
          <w:rFonts w:cs="Arial"/>
        </w:rPr>
        <w:t xml:space="preserve"> carr</w:t>
      </w:r>
      <w:r w:rsidR="00B364E5">
        <w:rPr>
          <w:rFonts w:cs="Arial"/>
        </w:rPr>
        <w:t>y</w:t>
      </w:r>
      <w:r w:rsidR="00C831EF">
        <w:rPr>
          <w:rFonts w:cs="Arial"/>
        </w:rPr>
        <w:t xml:space="preserve"> in Asia</w:t>
      </w:r>
      <w:r w:rsidR="00DE5B41">
        <w:rPr>
          <w:rFonts w:cs="Arial"/>
        </w:rPr>
        <w:t>.</w:t>
      </w:r>
      <w:r w:rsidR="006D3EFD">
        <w:rPr>
          <w:rFonts w:cs="Arial"/>
        </w:rPr>
        <w:t xml:space="preserve"> Vulnerable animal populations, like moose, are also at risk from new parasites and diseases.</w:t>
      </w:r>
    </w:p>
    <w:p w14:paraId="0669090A" w14:textId="77777777" w:rsidR="003E6156" w:rsidRDefault="000D51AD" w:rsidP="006E0EFD">
      <w:pPr>
        <w:rPr>
          <w:rFonts w:cs="Arial"/>
        </w:rPr>
      </w:pPr>
      <w:r>
        <w:rPr>
          <w:rFonts w:cs="Arial"/>
        </w:rPr>
        <w:tab/>
      </w:r>
      <w:r w:rsidR="00DE5B41" w:rsidRPr="007048CA">
        <w:rPr>
          <w:rFonts w:cs="Arial"/>
          <w:b/>
        </w:rPr>
        <w:t>We propose a surveillance network</w:t>
      </w:r>
      <w:r w:rsidR="00DE5B41">
        <w:rPr>
          <w:rFonts w:cs="Arial"/>
        </w:rPr>
        <w:t xml:space="preserve"> </w:t>
      </w:r>
      <w:r w:rsidR="00AB371D">
        <w:rPr>
          <w:rFonts w:cs="Arial"/>
        </w:rPr>
        <w:t xml:space="preserve">in Minnesota </w:t>
      </w:r>
      <w:r w:rsidR="00DE5B41">
        <w:rPr>
          <w:rFonts w:cs="Arial"/>
        </w:rPr>
        <w:t>to prepare for the Asian longhorned tick.</w:t>
      </w:r>
      <w:r w:rsidR="00677B95">
        <w:rPr>
          <w:rFonts w:cs="Arial"/>
        </w:rPr>
        <w:t xml:space="preserve"> </w:t>
      </w:r>
      <w:r w:rsidR="00C12EB1">
        <w:rPr>
          <w:rFonts w:cs="Arial"/>
        </w:rPr>
        <w:t xml:space="preserve">At the same time, </w:t>
      </w:r>
      <w:r w:rsidR="00AB371D">
        <w:rPr>
          <w:rFonts w:cs="Arial"/>
        </w:rPr>
        <w:t xml:space="preserve">this will result in a census and risk map of </w:t>
      </w:r>
      <w:r w:rsidR="002F52B6">
        <w:rPr>
          <w:rFonts w:cs="Arial"/>
        </w:rPr>
        <w:t xml:space="preserve">other </w:t>
      </w:r>
      <w:r w:rsidR="00AB371D">
        <w:rPr>
          <w:rFonts w:cs="Arial"/>
        </w:rPr>
        <w:t xml:space="preserve">human-biting ticks. </w:t>
      </w:r>
      <w:r w:rsidR="00677B95">
        <w:rPr>
          <w:rFonts w:cs="Arial"/>
        </w:rPr>
        <w:t>Our project objectives are</w:t>
      </w:r>
      <w:r w:rsidR="003E6156">
        <w:rPr>
          <w:rFonts w:cs="Arial"/>
        </w:rPr>
        <w:t>:</w:t>
      </w:r>
    </w:p>
    <w:p w14:paraId="4DB25F73" w14:textId="5B5FE12F" w:rsidR="003E6156" w:rsidRDefault="003E6156" w:rsidP="00A81BE7">
      <w:pPr>
        <w:pStyle w:val="ListParagraph"/>
        <w:numPr>
          <w:ilvl w:val="0"/>
          <w:numId w:val="13"/>
        </w:numPr>
        <w:rPr>
          <w:rFonts w:cs="Arial"/>
        </w:rPr>
      </w:pPr>
      <w:r>
        <w:rPr>
          <w:rFonts w:cs="Arial"/>
        </w:rPr>
        <w:t xml:space="preserve">1) </w:t>
      </w:r>
      <w:r w:rsidR="00677B95" w:rsidRPr="00A81BE7">
        <w:rPr>
          <w:rFonts w:cs="Arial"/>
        </w:rPr>
        <w:t xml:space="preserve">Establish a collaborative network between the University of Minnesota, state and city government agencies, and </w:t>
      </w:r>
      <w:r w:rsidRPr="00A81BE7">
        <w:rPr>
          <w:rFonts w:cs="Arial"/>
        </w:rPr>
        <w:t>wildlife rehabilitation clinics</w:t>
      </w:r>
      <w:r w:rsidR="00677B95" w:rsidRPr="00A81BE7">
        <w:rPr>
          <w:rFonts w:cs="Arial"/>
        </w:rPr>
        <w:t xml:space="preserve"> </w:t>
      </w:r>
    </w:p>
    <w:p w14:paraId="69BD2A6A" w14:textId="084EA115" w:rsidR="003E6156" w:rsidRDefault="00677B95" w:rsidP="00A81BE7">
      <w:pPr>
        <w:pStyle w:val="ListParagraph"/>
        <w:numPr>
          <w:ilvl w:val="0"/>
          <w:numId w:val="13"/>
        </w:numPr>
        <w:rPr>
          <w:rFonts w:cs="Arial"/>
        </w:rPr>
      </w:pPr>
      <w:r w:rsidRPr="00A81BE7">
        <w:rPr>
          <w:rFonts w:cs="Arial"/>
        </w:rPr>
        <w:t xml:space="preserve">2) </w:t>
      </w:r>
      <w:r w:rsidRPr="00E214F1">
        <w:rPr>
          <w:rFonts w:cs="Arial"/>
        </w:rPr>
        <w:t>Develop a delivery and identification system for tick samples</w:t>
      </w:r>
    </w:p>
    <w:p w14:paraId="47A5C108" w14:textId="12F1AAC2" w:rsidR="00677B95" w:rsidRPr="00A81BE7" w:rsidRDefault="00677B95" w:rsidP="00A81BE7">
      <w:pPr>
        <w:pStyle w:val="ListParagraph"/>
        <w:numPr>
          <w:ilvl w:val="0"/>
          <w:numId w:val="13"/>
        </w:numPr>
        <w:rPr>
          <w:rFonts w:cs="Arial"/>
        </w:rPr>
      </w:pPr>
      <w:r w:rsidRPr="00A81BE7">
        <w:rPr>
          <w:rFonts w:cs="Arial"/>
        </w:rPr>
        <w:t xml:space="preserve">3) Communicate surveillance results </w:t>
      </w:r>
      <w:r w:rsidR="002F52B6" w:rsidRPr="00A81BE7">
        <w:rPr>
          <w:rFonts w:cs="Arial"/>
        </w:rPr>
        <w:t xml:space="preserve">and risks </w:t>
      </w:r>
      <w:r w:rsidRPr="00A81BE7">
        <w:rPr>
          <w:rFonts w:cs="Arial"/>
        </w:rPr>
        <w:t xml:space="preserve">to </w:t>
      </w:r>
      <w:r w:rsidR="003E6156">
        <w:rPr>
          <w:rFonts w:cs="Arial"/>
        </w:rPr>
        <w:t>the Minnesotan public</w:t>
      </w:r>
      <w:r w:rsidRPr="00A81BE7">
        <w:rPr>
          <w:rFonts w:cs="Arial"/>
        </w:rPr>
        <w:t xml:space="preserve"> </w:t>
      </w:r>
      <w:r w:rsidR="000D51AD" w:rsidRPr="00A81BE7">
        <w:rPr>
          <w:rFonts w:cs="Arial"/>
        </w:rPr>
        <w:tab/>
      </w:r>
    </w:p>
    <w:p w14:paraId="2320A7E8" w14:textId="6339B6FF" w:rsidR="00C02DAD" w:rsidRDefault="00677B95" w:rsidP="00991F95">
      <w:pPr>
        <w:ind w:firstLine="720"/>
        <w:rPr>
          <w:rFonts w:cs="Arial"/>
        </w:rPr>
      </w:pPr>
      <w:r w:rsidRPr="007048CA">
        <w:rPr>
          <w:rFonts w:cs="Arial"/>
          <w:b/>
        </w:rPr>
        <w:t>The principal collaborators will include</w:t>
      </w:r>
      <w:r>
        <w:rPr>
          <w:rFonts w:cs="Arial"/>
        </w:rPr>
        <w:t xml:space="preserve"> the University of Minnesota</w:t>
      </w:r>
      <w:r w:rsidR="0053005B">
        <w:rPr>
          <w:rFonts w:cs="Arial"/>
        </w:rPr>
        <w:t xml:space="preserve"> (UMN)</w:t>
      </w:r>
      <w:r>
        <w:rPr>
          <w:rFonts w:cs="Arial"/>
        </w:rPr>
        <w:t>, MN Department of Health</w:t>
      </w:r>
      <w:r w:rsidR="0053005B">
        <w:rPr>
          <w:rFonts w:cs="Arial"/>
        </w:rPr>
        <w:t xml:space="preserve"> (MDH)</w:t>
      </w:r>
      <w:r>
        <w:rPr>
          <w:rFonts w:cs="Arial"/>
        </w:rPr>
        <w:t>, MN Department of Natural Resources</w:t>
      </w:r>
      <w:r w:rsidR="0053005B">
        <w:rPr>
          <w:rFonts w:cs="Arial"/>
        </w:rPr>
        <w:t xml:space="preserve"> (DNR)</w:t>
      </w:r>
      <w:r>
        <w:rPr>
          <w:rFonts w:cs="Arial"/>
        </w:rPr>
        <w:t xml:space="preserve">, MN </w:t>
      </w:r>
      <w:r w:rsidR="00A81BE7">
        <w:rPr>
          <w:rFonts w:cs="Arial"/>
        </w:rPr>
        <w:t>Board of Animal Health (BAH</w:t>
      </w:r>
      <w:r w:rsidR="0053005B">
        <w:rPr>
          <w:rFonts w:cs="Arial"/>
        </w:rPr>
        <w:t>)</w:t>
      </w:r>
      <w:r>
        <w:rPr>
          <w:rFonts w:cs="Arial"/>
        </w:rPr>
        <w:t>, the Metropolitan Mosquito Control District</w:t>
      </w:r>
      <w:r w:rsidR="0053005B">
        <w:rPr>
          <w:rFonts w:cs="Arial"/>
        </w:rPr>
        <w:t xml:space="preserve"> (MMCD)</w:t>
      </w:r>
      <w:r w:rsidR="006D3EFD">
        <w:rPr>
          <w:rFonts w:cs="Arial"/>
        </w:rPr>
        <w:t xml:space="preserve">, and the </w:t>
      </w:r>
      <w:r w:rsidR="006D3EFD" w:rsidRPr="006D3EFD">
        <w:rPr>
          <w:rFonts w:cs="Arial"/>
        </w:rPr>
        <w:t>Wildlife Rehabilitation Center of Minnesota</w:t>
      </w:r>
      <w:r w:rsidR="006D3EFD">
        <w:rPr>
          <w:rFonts w:cs="Arial"/>
        </w:rPr>
        <w:t xml:space="preserve"> (WRC) which rehabilitates ~90% of wild animals sent to clinics in Minnesota</w:t>
      </w:r>
      <w:r>
        <w:rPr>
          <w:rFonts w:cs="Arial"/>
        </w:rPr>
        <w:t xml:space="preserve">. </w:t>
      </w:r>
      <w:r w:rsidR="003E6156">
        <w:rPr>
          <w:rFonts w:cs="Arial"/>
        </w:rPr>
        <w:t>Ticks for identification will come from</w:t>
      </w:r>
      <w:r>
        <w:rPr>
          <w:rFonts w:cs="Arial"/>
        </w:rPr>
        <w:t xml:space="preserve"> </w:t>
      </w:r>
      <w:r w:rsidR="003E6156">
        <w:rPr>
          <w:rFonts w:cs="Arial"/>
        </w:rPr>
        <w:t xml:space="preserve">participating </w:t>
      </w:r>
      <w:r>
        <w:rPr>
          <w:rFonts w:cs="Arial"/>
        </w:rPr>
        <w:t>wildlife rehabilitation clinics</w:t>
      </w:r>
      <w:r w:rsidR="003E6156">
        <w:rPr>
          <w:rFonts w:cs="Arial"/>
        </w:rPr>
        <w:t xml:space="preserve"> around the state.</w:t>
      </w:r>
    </w:p>
    <w:p w14:paraId="3895D264" w14:textId="77777777" w:rsidR="00991F95" w:rsidRPr="00991F95" w:rsidRDefault="00991F95" w:rsidP="00991F95">
      <w:pPr>
        <w:ind w:firstLine="720"/>
        <w:rPr>
          <w:rFonts w:cs="Arial"/>
          <w:b/>
          <w:sz w:val="12"/>
          <w:szCs w:val="12"/>
        </w:rPr>
      </w:pPr>
    </w:p>
    <w:p w14:paraId="54AC0859" w14:textId="7FE1E2BA" w:rsidR="006E0EFD"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3BC0B695" w14:textId="7490B19F" w:rsidR="005E32C6" w:rsidRDefault="00BF0B17" w:rsidP="006E0EFD">
      <w:pPr>
        <w:rPr>
          <w:rFonts w:cs="Arial"/>
        </w:rPr>
      </w:pPr>
      <w:r w:rsidRPr="00BF0B17">
        <w:rPr>
          <w:rFonts w:cs="Arial"/>
          <w:b/>
        </w:rPr>
        <w:t>Activity 1:</w:t>
      </w:r>
      <w:r w:rsidR="00FB05DA">
        <w:rPr>
          <w:rFonts w:cs="Arial"/>
          <w:b/>
        </w:rPr>
        <w:t xml:space="preserve"> </w:t>
      </w:r>
      <w:r w:rsidR="00FB05DA">
        <w:rPr>
          <w:rFonts w:cs="Arial"/>
          <w:i/>
        </w:rPr>
        <w:t>Establish collaborative early warning network</w:t>
      </w:r>
      <w:r w:rsidR="00866788">
        <w:t xml:space="preserve"> for</w:t>
      </w:r>
      <w:r w:rsidR="003E6156" w:rsidRPr="00A81BE7">
        <w:rPr>
          <w:i/>
        </w:rPr>
        <w:t xml:space="preserve"> t</w:t>
      </w:r>
      <w:r w:rsidR="003E6156" w:rsidRPr="003E6156">
        <w:rPr>
          <w:rFonts w:cs="Arial"/>
          <w:i/>
        </w:rPr>
        <w:t>ick submission and identification.</w:t>
      </w:r>
      <w:r w:rsidR="003D3661">
        <w:rPr>
          <w:rFonts w:cs="Arial"/>
        </w:rPr>
        <w:t xml:space="preserve"> </w:t>
      </w:r>
      <w:r w:rsidR="0053005B">
        <w:rPr>
          <w:rFonts w:cs="Arial"/>
        </w:rPr>
        <w:t>The principal collaborators will meet and de</w:t>
      </w:r>
      <w:r w:rsidR="00274A85">
        <w:rPr>
          <w:rFonts w:cs="Arial"/>
        </w:rPr>
        <w:t xml:space="preserve">termine </w:t>
      </w:r>
      <w:r w:rsidR="0053005B">
        <w:rPr>
          <w:rFonts w:cs="Arial"/>
        </w:rPr>
        <w:t xml:space="preserve">the roles </w:t>
      </w:r>
      <w:r w:rsidR="00274A85">
        <w:rPr>
          <w:rFonts w:cs="Arial"/>
        </w:rPr>
        <w:t xml:space="preserve">of </w:t>
      </w:r>
      <w:r w:rsidR="0053005B">
        <w:rPr>
          <w:rFonts w:cs="Arial"/>
        </w:rPr>
        <w:t>the various organization</w:t>
      </w:r>
      <w:r w:rsidR="00274A85">
        <w:rPr>
          <w:rFonts w:cs="Arial"/>
        </w:rPr>
        <w:t xml:space="preserve"> in </w:t>
      </w:r>
      <w:r w:rsidR="0053005B">
        <w:rPr>
          <w:rFonts w:cs="Arial"/>
        </w:rPr>
        <w:t>the early warning network. Activities include</w:t>
      </w:r>
      <w:r w:rsidR="006D3EFD">
        <w:rPr>
          <w:rFonts w:cs="Arial"/>
        </w:rPr>
        <w:t xml:space="preserve"> completing planning with WRC,</w:t>
      </w:r>
      <w:r w:rsidR="0053005B">
        <w:rPr>
          <w:rFonts w:cs="Arial"/>
        </w:rPr>
        <w:t xml:space="preserve"> </w:t>
      </w:r>
      <w:r w:rsidR="005E32C6">
        <w:rPr>
          <w:rFonts w:cs="Arial"/>
        </w:rPr>
        <w:t xml:space="preserve">distribution of tick preservation materials, </w:t>
      </w:r>
      <w:r w:rsidR="0053005B">
        <w:rPr>
          <w:rFonts w:cs="Arial"/>
        </w:rPr>
        <w:t xml:space="preserve">tick species identification, and dissemination of </w:t>
      </w:r>
      <w:r w:rsidR="005E32C6">
        <w:rPr>
          <w:rFonts w:cs="Arial"/>
        </w:rPr>
        <w:t>results, with other priorities likely being identified later.</w:t>
      </w:r>
    </w:p>
    <w:p w14:paraId="79E74F61" w14:textId="6DFB1679" w:rsidR="00E214F1" w:rsidRDefault="003E6156" w:rsidP="006E0EFD">
      <w:pPr>
        <w:rPr>
          <w:rFonts w:cs="Arial"/>
          <w:b/>
        </w:rPr>
      </w:pPr>
      <w:r>
        <w:rPr>
          <w:rFonts w:cs="Arial"/>
        </w:rPr>
        <w:tab/>
      </w:r>
      <w:r w:rsidRPr="003E6156">
        <w:rPr>
          <w:rFonts w:cs="Arial"/>
        </w:rPr>
        <w:t xml:space="preserve">Preservation materials (vials, ethanol, forceps, pre-paid mailing boxes, etc.) will be provided to participating wildlife rehabilitation centers. They will send tick samples together with collection data to the central identification lab at UMN. Tick samples will be identified to genus by staff from UMN and MDH. Samples in the same genus as the Asian longhorned tick will be tested by DNA analysis to determine definitive species identity. </w:t>
      </w:r>
      <w:r w:rsidRPr="003E6156">
        <w:rPr>
          <w:rFonts w:cs="Arial"/>
        </w:rPr>
        <w:lastRenderedPageBreak/>
        <w:t>Identification will also detect the presence of other invasive tick species expected to arrive in Minnesota, in particular the lone star tick that transmits a severe form of human ehrlichiosis. All tick samples will be preserved for potential future study.</w:t>
      </w:r>
    </w:p>
    <w:p w14:paraId="2B7C4D72" w14:textId="4E4B64D6" w:rsidR="006E0EFD" w:rsidRPr="00BF0B17" w:rsidRDefault="00BF0B17" w:rsidP="006E0EFD">
      <w:pPr>
        <w:rPr>
          <w:rFonts w:cs="Arial"/>
        </w:rPr>
      </w:pPr>
      <w:r w:rsidRPr="00BF0B17">
        <w:rPr>
          <w:rFonts w:cs="Arial"/>
          <w:b/>
        </w:rPr>
        <w:t>ENRTF BUDGET: $</w:t>
      </w:r>
      <w:r w:rsidR="00681F2F">
        <w:rPr>
          <w:rFonts w:cs="Arial"/>
          <w:b/>
        </w:rPr>
        <w:t xml:space="preserve"> 237,426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6E0EFD" w:rsidRPr="009D6EC8" w14:paraId="0E992D11" w14:textId="77777777" w:rsidTr="00A81BE7">
        <w:tc>
          <w:tcPr>
            <w:tcW w:w="8284" w:type="dxa"/>
          </w:tcPr>
          <w:p w14:paraId="5AB3E568" w14:textId="77777777" w:rsidR="006E0EFD" w:rsidRPr="009D6EC8" w:rsidRDefault="00A13F26" w:rsidP="006E0EFD">
            <w:pPr>
              <w:rPr>
                <w:rFonts w:cs="Arial"/>
                <w:b/>
              </w:rPr>
            </w:pPr>
            <w:r w:rsidRPr="009D6EC8">
              <w:rPr>
                <w:rFonts w:cs="Arial"/>
                <w:b/>
              </w:rPr>
              <w:t>Outcome</w:t>
            </w:r>
          </w:p>
        </w:tc>
        <w:tc>
          <w:tcPr>
            <w:tcW w:w="1786" w:type="dxa"/>
          </w:tcPr>
          <w:p w14:paraId="42749C33" w14:textId="77777777" w:rsidR="006E0EFD" w:rsidRPr="009D6EC8" w:rsidRDefault="006E0EFD" w:rsidP="005F7237">
            <w:pPr>
              <w:jc w:val="center"/>
              <w:rPr>
                <w:rFonts w:cs="Arial"/>
                <w:b/>
              </w:rPr>
            </w:pPr>
            <w:r w:rsidRPr="009D6EC8">
              <w:rPr>
                <w:rFonts w:cs="Arial"/>
                <w:b/>
              </w:rPr>
              <w:t>Completion Date</w:t>
            </w:r>
          </w:p>
        </w:tc>
      </w:tr>
      <w:tr w:rsidR="006E0EFD" w:rsidRPr="009D6EC8" w14:paraId="1279C6BD" w14:textId="77777777" w:rsidTr="00A81BE7">
        <w:tc>
          <w:tcPr>
            <w:tcW w:w="8284" w:type="dxa"/>
          </w:tcPr>
          <w:p w14:paraId="2562A52B" w14:textId="7BE34EF9" w:rsidR="006E0EFD" w:rsidRPr="009D6EC8" w:rsidRDefault="006E0EFD" w:rsidP="008949EE">
            <w:pPr>
              <w:rPr>
                <w:rFonts w:cs="Arial"/>
                <w:i/>
              </w:rPr>
            </w:pPr>
            <w:r w:rsidRPr="009D6EC8">
              <w:rPr>
                <w:rFonts w:cs="Arial"/>
                <w:i/>
              </w:rPr>
              <w:t xml:space="preserve">1.  </w:t>
            </w:r>
            <w:r w:rsidR="006832CD">
              <w:rPr>
                <w:rFonts w:cs="Arial"/>
                <w:i/>
              </w:rPr>
              <w:t>Assign project roles to collaborators</w:t>
            </w:r>
          </w:p>
        </w:tc>
        <w:tc>
          <w:tcPr>
            <w:tcW w:w="1786" w:type="dxa"/>
          </w:tcPr>
          <w:p w14:paraId="54671ABE" w14:textId="463C78DA" w:rsidR="006E0EFD" w:rsidRPr="00681F2F" w:rsidRDefault="00681F2F" w:rsidP="00681F2F">
            <w:pPr>
              <w:jc w:val="center"/>
              <w:rPr>
                <w:rFonts w:cs="Arial"/>
              </w:rPr>
            </w:pPr>
            <w:r>
              <w:rPr>
                <w:rFonts w:cs="Arial"/>
              </w:rPr>
              <w:t>8/1/2020</w:t>
            </w:r>
          </w:p>
        </w:tc>
      </w:tr>
      <w:tr w:rsidR="00E214F1" w:rsidRPr="009D6EC8" w14:paraId="55C2109C" w14:textId="77777777" w:rsidTr="00E214F1">
        <w:tc>
          <w:tcPr>
            <w:tcW w:w="8284" w:type="dxa"/>
          </w:tcPr>
          <w:p w14:paraId="1D6624CF" w14:textId="2D29B33F" w:rsidR="00E214F1" w:rsidRDefault="00681F2F" w:rsidP="00E214F1">
            <w:pPr>
              <w:rPr>
                <w:rFonts w:cs="Arial"/>
                <w:i/>
              </w:rPr>
            </w:pPr>
            <w:r>
              <w:rPr>
                <w:rFonts w:cs="Arial"/>
                <w:i/>
              </w:rPr>
              <w:t>2</w:t>
            </w:r>
            <w:r w:rsidR="00E214F1" w:rsidRPr="00E214F1">
              <w:rPr>
                <w:rFonts w:cs="Arial"/>
                <w:i/>
              </w:rPr>
              <w:t>.  Prepare materials for tick submission</w:t>
            </w:r>
          </w:p>
        </w:tc>
        <w:tc>
          <w:tcPr>
            <w:tcW w:w="1786" w:type="dxa"/>
          </w:tcPr>
          <w:p w14:paraId="729EEB9E" w14:textId="01762BDF" w:rsidR="00E214F1" w:rsidRPr="00681F2F" w:rsidRDefault="00681F2F" w:rsidP="00681F2F">
            <w:pPr>
              <w:jc w:val="center"/>
              <w:rPr>
                <w:rFonts w:cs="Arial"/>
              </w:rPr>
            </w:pPr>
            <w:r>
              <w:rPr>
                <w:rFonts w:cs="Arial"/>
              </w:rPr>
              <w:t>9/1/2020</w:t>
            </w:r>
          </w:p>
        </w:tc>
      </w:tr>
      <w:tr w:rsidR="00E214F1" w:rsidRPr="009D6EC8" w14:paraId="6E8CFEED" w14:textId="77777777" w:rsidTr="00E214F1">
        <w:tc>
          <w:tcPr>
            <w:tcW w:w="8284" w:type="dxa"/>
          </w:tcPr>
          <w:p w14:paraId="683E3338" w14:textId="6AB6710D" w:rsidR="00E214F1" w:rsidRDefault="00681F2F" w:rsidP="00E214F1">
            <w:pPr>
              <w:rPr>
                <w:rFonts w:cs="Arial"/>
                <w:i/>
              </w:rPr>
            </w:pPr>
            <w:r>
              <w:rPr>
                <w:rFonts w:cs="Arial"/>
                <w:i/>
              </w:rPr>
              <w:t>3</w:t>
            </w:r>
            <w:r w:rsidR="00E214F1">
              <w:rPr>
                <w:rFonts w:cs="Arial"/>
                <w:i/>
              </w:rPr>
              <w:t xml:space="preserve">.  </w:t>
            </w:r>
            <w:r w:rsidR="00E214F1" w:rsidRPr="00E214F1">
              <w:rPr>
                <w:rFonts w:cs="Arial"/>
                <w:i/>
              </w:rPr>
              <w:t>Identify ticks using morphologic keys and DNA analyses</w:t>
            </w:r>
          </w:p>
        </w:tc>
        <w:tc>
          <w:tcPr>
            <w:tcW w:w="1786" w:type="dxa"/>
          </w:tcPr>
          <w:p w14:paraId="353FE04F" w14:textId="093570F4" w:rsidR="00E214F1" w:rsidRPr="00681F2F" w:rsidRDefault="00681F2F" w:rsidP="00681F2F">
            <w:pPr>
              <w:jc w:val="center"/>
              <w:rPr>
                <w:rFonts w:cs="Arial"/>
              </w:rPr>
            </w:pPr>
            <w:r>
              <w:rPr>
                <w:rFonts w:cs="Arial"/>
              </w:rPr>
              <w:t>6/31/2023</w:t>
            </w:r>
          </w:p>
        </w:tc>
      </w:tr>
    </w:tbl>
    <w:p w14:paraId="250A1641" w14:textId="070E1476" w:rsidR="00FB05DA" w:rsidRPr="000D51AD" w:rsidRDefault="00FB05DA" w:rsidP="00840D90">
      <w:r>
        <w:rPr>
          <w:rFonts w:cs="Arial"/>
          <w:b/>
        </w:rPr>
        <w:t xml:space="preserve">Activity </w:t>
      </w:r>
      <w:r w:rsidR="00E214F1">
        <w:rPr>
          <w:rFonts w:cs="Arial"/>
          <w:b/>
        </w:rPr>
        <w:t>2</w:t>
      </w:r>
      <w:r w:rsidRPr="00BF0B17">
        <w:rPr>
          <w:rFonts w:cs="Arial"/>
          <w:b/>
        </w:rPr>
        <w:t>:</w:t>
      </w:r>
      <w:r>
        <w:rPr>
          <w:rFonts w:cs="Arial"/>
          <w:b/>
        </w:rPr>
        <w:t xml:space="preserve"> </w:t>
      </w:r>
      <w:r>
        <w:rPr>
          <w:rFonts w:cs="Arial"/>
          <w:i/>
        </w:rPr>
        <w:t>Risk communication and outreach</w:t>
      </w:r>
      <w:r w:rsidR="00840D90">
        <w:rPr>
          <w:rFonts w:cs="Arial"/>
        </w:rPr>
        <w:t xml:space="preserve">. </w:t>
      </w:r>
      <w:r w:rsidR="009E1AFD">
        <w:rPr>
          <w:rFonts w:cs="Arial"/>
        </w:rPr>
        <w:t xml:space="preserve">To inform Minnesotans about risks associated with ticks and spread of the Asian longhorned tick, we will produce online outreach materials </w:t>
      </w:r>
      <w:r w:rsidR="00840D90">
        <w:rPr>
          <w:rFonts w:cs="Arial"/>
        </w:rPr>
        <w:t xml:space="preserve">hosted at the UMN Department of Entomology and School of Public Health websites, </w:t>
      </w:r>
      <w:r w:rsidR="009E1AFD">
        <w:rPr>
          <w:rFonts w:cs="Arial"/>
        </w:rPr>
        <w:t>and prepare educational presentations for interested group</w:t>
      </w:r>
      <w:r w:rsidR="00840D90">
        <w:rPr>
          <w:rFonts w:cs="Arial"/>
        </w:rPr>
        <w:t>s (e.g., at meetings of growers’ association</w:t>
      </w:r>
      <w:r w:rsidR="009E1AFD">
        <w:rPr>
          <w:rFonts w:cs="Arial"/>
        </w:rPr>
        <w:t>s</w:t>
      </w:r>
      <w:r w:rsidR="00840D90">
        <w:rPr>
          <w:rFonts w:cs="Arial"/>
        </w:rPr>
        <w:t>)</w:t>
      </w:r>
      <w:r w:rsidR="009E1AFD">
        <w:rPr>
          <w:rFonts w:cs="Arial"/>
        </w:rPr>
        <w:t xml:space="preserve">. </w:t>
      </w:r>
      <w:r w:rsidR="00840D90">
        <w:rPr>
          <w:rFonts w:cs="Arial"/>
        </w:rPr>
        <w:t xml:space="preserve">Additionally, we will produce a printed </w:t>
      </w:r>
      <w:r w:rsidR="009E1AFD">
        <w:rPr>
          <w:rFonts w:cs="Arial"/>
        </w:rPr>
        <w:t>brochure for state fair distribution</w:t>
      </w:r>
      <w:r w:rsidR="007048CA">
        <w:rPr>
          <w:rFonts w:cs="Arial"/>
        </w:rPr>
        <w:t>.</w:t>
      </w:r>
    </w:p>
    <w:p w14:paraId="3C3A0815" w14:textId="3B567455" w:rsidR="00FB05DA" w:rsidRPr="00681F2F" w:rsidRDefault="00FB05DA" w:rsidP="00FB05DA">
      <w:pPr>
        <w:rPr>
          <w:rFonts w:cs="Arial"/>
        </w:rPr>
      </w:pPr>
      <w:r w:rsidRPr="00BF0B17">
        <w:rPr>
          <w:rFonts w:cs="Arial"/>
          <w:b/>
        </w:rPr>
        <w:t>ENRTF BUDGET: $</w:t>
      </w:r>
      <w:r w:rsidR="00681F2F">
        <w:rPr>
          <w:rFonts w:cs="Arial"/>
          <w:b/>
        </w:rPr>
        <w:t xml:space="preserve"> </w:t>
      </w:r>
      <w:r w:rsidR="00681F2F" w:rsidRPr="00681F2F">
        <w:rPr>
          <w:rFonts w:cs="Arial"/>
          <w:b/>
        </w:rPr>
        <w:t>62,574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2425"/>
      </w:tblGrid>
      <w:tr w:rsidR="00FB05DA" w:rsidRPr="009D6EC8" w14:paraId="2816A46C" w14:textId="77777777" w:rsidTr="00681F2F">
        <w:tc>
          <w:tcPr>
            <w:tcW w:w="7645" w:type="dxa"/>
          </w:tcPr>
          <w:p w14:paraId="1954E73F" w14:textId="77777777" w:rsidR="00FB05DA" w:rsidRPr="009D6EC8" w:rsidRDefault="00FB05DA" w:rsidP="0060642A">
            <w:pPr>
              <w:rPr>
                <w:rFonts w:cs="Arial"/>
                <w:b/>
              </w:rPr>
            </w:pPr>
            <w:r w:rsidRPr="009D6EC8">
              <w:rPr>
                <w:rFonts w:cs="Arial"/>
                <w:b/>
              </w:rPr>
              <w:t>Outcome</w:t>
            </w:r>
          </w:p>
        </w:tc>
        <w:tc>
          <w:tcPr>
            <w:tcW w:w="2425" w:type="dxa"/>
          </w:tcPr>
          <w:p w14:paraId="693818A7" w14:textId="77777777" w:rsidR="00FB05DA" w:rsidRPr="009D6EC8" w:rsidRDefault="00FB05DA" w:rsidP="0060642A">
            <w:pPr>
              <w:jc w:val="center"/>
              <w:rPr>
                <w:rFonts w:cs="Arial"/>
                <w:b/>
              </w:rPr>
            </w:pPr>
            <w:r w:rsidRPr="009D6EC8">
              <w:rPr>
                <w:rFonts w:cs="Arial"/>
                <w:b/>
              </w:rPr>
              <w:t>Completion Date</w:t>
            </w:r>
          </w:p>
        </w:tc>
      </w:tr>
      <w:tr w:rsidR="00FB05DA" w:rsidRPr="009D6EC8" w14:paraId="1D4F9662" w14:textId="77777777" w:rsidTr="00681F2F">
        <w:tc>
          <w:tcPr>
            <w:tcW w:w="7645" w:type="dxa"/>
          </w:tcPr>
          <w:p w14:paraId="07AE9057" w14:textId="12370FDC" w:rsidR="00FB05DA" w:rsidRPr="009D6EC8" w:rsidRDefault="00FB05DA" w:rsidP="0060642A">
            <w:pPr>
              <w:rPr>
                <w:rFonts w:cs="Arial"/>
                <w:i/>
              </w:rPr>
            </w:pPr>
            <w:r w:rsidRPr="009D6EC8">
              <w:rPr>
                <w:rFonts w:cs="Arial"/>
                <w:i/>
              </w:rPr>
              <w:t xml:space="preserve">1.  </w:t>
            </w:r>
            <w:r w:rsidR="004716CB">
              <w:rPr>
                <w:rFonts w:cs="Arial"/>
                <w:i/>
              </w:rPr>
              <w:t>Establish informational websites at UMN departments</w:t>
            </w:r>
          </w:p>
        </w:tc>
        <w:tc>
          <w:tcPr>
            <w:tcW w:w="2425" w:type="dxa"/>
          </w:tcPr>
          <w:p w14:paraId="4EE4098F" w14:textId="5A4559EA" w:rsidR="00FB05DA" w:rsidRPr="00681F2F" w:rsidRDefault="00681F2F" w:rsidP="00681F2F">
            <w:pPr>
              <w:jc w:val="center"/>
              <w:rPr>
                <w:rFonts w:cs="Arial"/>
              </w:rPr>
            </w:pPr>
            <w:r>
              <w:rPr>
                <w:rFonts w:cs="Arial"/>
              </w:rPr>
              <w:t>8/1/2021</w:t>
            </w:r>
          </w:p>
        </w:tc>
      </w:tr>
      <w:tr w:rsidR="00FB05DA" w:rsidRPr="009D6EC8" w14:paraId="375EE580" w14:textId="77777777" w:rsidTr="00681F2F">
        <w:tc>
          <w:tcPr>
            <w:tcW w:w="7645" w:type="dxa"/>
          </w:tcPr>
          <w:p w14:paraId="1148E281" w14:textId="5134DECB" w:rsidR="00FB05DA" w:rsidRPr="009D6EC8" w:rsidRDefault="00FB05DA" w:rsidP="00681F2F">
            <w:pPr>
              <w:rPr>
                <w:rFonts w:cs="Arial"/>
                <w:i/>
              </w:rPr>
            </w:pPr>
            <w:r w:rsidRPr="009D6EC8">
              <w:rPr>
                <w:rFonts w:cs="Arial"/>
                <w:i/>
              </w:rPr>
              <w:t xml:space="preserve">2.  </w:t>
            </w:r>
            <w:r w:rsidR="00681F2F">
              <w:rPr>
                <w:rFonts w:cs="Arial"/>
                <w:i/>
              </w:rPr>
              <w:t>Perform</w:t>
            </w:r>
            <w:r w:rsidR="004716CB">
              <w:rPr>
                <w:rFonts w:cs="Arial"/>
                <w:i/>
              </w:rPr>
              <w:t xml:space="preserve"> presentations for stakeholder groups</w:t>
            </w:r>
          </w:p>
        </w:tc>
        <w:tc>
          <w:tcPr>
            <w:tcW w:w="2425" w:type="dxa"/>
          </w:tcPr>
          <w:p w14:paraId="34262B7B" w14:textId="3E2BAF35" w:rsidR="00FB05DA" w:rsidRPr="00681F2F" w:rsidRDefault="00681F2F" w:rsidP="00681F2F">
            <w:pPr>
              <w:jc w:val="center"/>
              <w:rPr>
                <w:rFonts w:cs="Arial"/>
              </w:rPr>
            </w:pPr>
            <w:r>
              <w:rPr>
                <w:rFonts w:cs="Arial"/>
              </w:rPr>
              <w:t>6/31/2023</w:t>
            </w:r>
          </w:p>
        </w:tc>
      </w:tr>
      <w:tr w:rsidR="00FB05DA" w:rsidRPr="009D6EC8" w14:paraId="524DFBBE" w14:textId="77777777" w:rsidTr="00681F2F">
        <w:tc>
          <w:tcPr>
            <w:tcW w:w="7645" w:type="dxa"/>
          </w:tcPr>
          <w:p w14:paraId="4E9734D8" w14:textId="26DD950E" w:rsidR="00FB05DA" w:rsidRPr="009D6EC8" w:rsidRDefault="00FB05DA" w:rsidP="0060642A">
            <w:pPr>
              <w:rPr>
                <w:rFonts w:cs="Arial"/>
                <w:i/>
              </w:rPr>
            </w:pPr>
            <w:r w:rsidRPr="009D6EC8">
              <w:rPr>
                <w:rFonts w:cs="Arial"/>
                <w:i/>
              </w:rPr>
              <w:t xml:space="preserve">3.  </w:t>
            </w:r>
            <w:r w:rsidR="004716CB">
              <w:rPr>
                <w:rFonts w:cs="Arial"/>
                <w:i/>
              </w:rPr>
              <w:t>Prepare printed brochures</w:t>
            </w:r>
          </w:p>
        </w:tc>
        <w:tc>
          <w:tcPr>
            <w:tcW w:w="2425" w:type="dxa"/>
          </w:tcPr>
          <w:p w14:paraId="19D3180A" w14:textId="1E65C77B" w:rsidR="00FB05DA" w:rsidRPr="00681F2F" w:rsidRDefault="00681F2F" w:rsidP="00681F2F">
            <w:pPr>
              <w:jc w:val="center"/>
              <w:rPr>
                <w:rFonts w:cs="Arial"/>
              </w:rPr>
            </w:pPr>
            <w:r>
              <w:rPr>
                <w:rFonts w:cs="Arial"/>
              </w:rPr>
              <w:t>yearly thru State Fair ‘23</w:t>
            </w:r>
          </w:p>
        </w:tc>
      </w:tr>
    </w:tbl>
    <w:p w14:paraId="37A263AC" w14:textId="77777777" w:rsidR="00E214F1" w:rsidRPr="00991F95" w:rsidRDefault="00E214F1" w:rsidP="005431D4">
      <w:pPr>
        <w:tabs>
          <w:tab w:val="left" w:pos="540"/>
        </w:tabs>
        <w:autoSpaceDE w:val="0"/>
        <w:autoSpaceDN w:val="0"/>
        <w:adjustRightInd w:val="0"/>
        <w:rPr>
          <w:rFonts w:cs="Arial"/>
          <w:b/>
          <w:sz w:val="12"/>
          <w:szCs w:val="12"/>
        </w:rPr>
      </w:pPr>
    </w:p>
    <w:p w14:paraId="45A24029" w14:textId="533BC932" w:rsidR="005431D4" w:rsidRPr="00AF4ECD" w:rsidRDefault="006E0EFD" w:rsidP="005431D4">
      <w:pPr>
        <w:tabs>
          <w:tab w:val="left" w:pos="540"/>
        </w:tabs>
        <w:autoSpaceDE w:val="0"/>
        <w:autoSpaceDN w:val="0"/>
        <w:adjustRightInd w:val="0"/>
        <w:rPr>
          <w:rFonts w:cs="Arial"/>
          <w:b/>
          <w:bCs/>
          <w:color w:val="000000"/>
        </w:rPr>
      </w:pPr>
      <w:r w:rsidRPr="009D6EC8">
        <w:rPr>
          <w:rFonts w:cs="Arial"/>
          <w:b/>
        </w:rPr>
        <w:t xml:space="preserve">III. </w:t>
      </w:r>
      <w:r w:rsidR="005431D4" w:rsidRPr="00AF4ECD">
        <w:rPr>
          <w:rFonts w:cs="Arial"/>
          <w:b/>
          <w:bCs/>
          <w:color w:val="000000"/>
        </w:rPr>
        <w:t xml:space="preserve">PROJECT </w:t>
      </w:r>
      <w:r w:rsidR="005431D4">
        <w:rPr>
          <w:rFonts w:cs="Arial"/>
          <w:b/>
          <w:bCs/>
          <w:color w:val="000000"/>
        </w:rPr>
        <w:t>PARTNERS</w:t>
      </w:r>
      <w:r w:rsidR="005431D4" w:rsidRPr="00AF4ECD">
        <w:rPr>
          <w:rFonts w:cs="Arial"/>
          <w:b/>
          <w:bCs/>
          <w:color w:val="000000"/>
        </w:rPr>
        <w:t>:</w:t>
      </w:r>
    </w:p>
    <w:p w14:paraId="79DD3327" w14:textId="77777777" w:rsidR="005431D4" w:rsidRPr="00474B3B" w:rsidRDefault="005431D4" w:rsidP="005431D4">
      <w:pPr>
        <w:pStyle w:val="Bodycopy"/>
        <w:spacing w:before="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Look w:val="04A0" w:firstRow="1" w:lastRow="0" w:firstColumn="1" w:lastColumn="0" w:noHBand="0" w:noVBand="1"/>
      </w:tblPr>
      <w:tblGrid>
        <w:gridCol w:w="2517"/>
        <w:gridCol w:w="2499"/>
        <w:gridCol w:w="1909"/>
        <w:gridCol w:w="3145"/>
      </w:tblGrid>
      <w:tr w:rsidR="009E509C" w14:paraId="3337CCE3" w14:textId="77777777" w:rsidTr="00CD0AD8">
        <w:trPr>
          <w:trHeight w:val="360"/>
        </w:trPr>
        <w:tc>
          <w:tcPr>
            <w:tcW w:w="2517" w:type="dxa"/>
          </w:tcPr>
          <w:p w14:paraId="36006045" w14:textId="77777777" w:rsidR="005431D4" w:rsidRDefault="005431D4" w:rsidP="00991F9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499" w:type="dxa"/>
          </w:tcPr>
          <w:p w14:paraId="477A0FB5" w14:textId="77777777" w:rsidR="005431D4" w:rsidRDefault="005431D4" w:rsidP="00991F9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1909" w:type="dxa"/>
          </w:tcPr>
          <w:p w14:paraId="30B96806" w14:textId="77777777" w:rsidR="005431D4" w:rsidRDefault="005431D4" w:rsidP="00991F9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3145" w:type="dxa"/>
          </w:tcPr>
          <w:p w14:paraId="53D87CC7" w14:textId="77777777" w:rsidR="005431D4" w:rsidRDefault="005431D4" w:rsidP="00991F9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9E509C" w14:paraId="2F799D59" w14:textId="77777777" w:rsidTr="00CD0AD8">
        <w:trPr>
          <w:trHeight w:val="144"/>
        </w:trPr>
        <w:tc>
          <w:tcPr>
            <w:tcW w:w="2517" w:type="dxa"/>
            <w:vAlign w:val="center"/>
          </w:tcPr>
          <w:p w14:paraId="7EBBFE32" w14:textId="6412737B" w:rsidR="005431D4" w:rsidRPr="00991F95"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Jonathan Oliver</w:t>
            </w:r>
          </w:p>
        </w:tc>
        <w:tc>
          <w:tcPr>
            <w:tcW w:w="2499" w:type="dxa"/>
            <w:vAlign w:val="center"/>
          </w:tcPr>
          <w:p w14:paraId="0D13CD49" w14:textId="0CB8D225" w:rsidR="005431D4" w:rsidRPr="00991F95"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Assistant Professor</w:t>
            </w:r>
          </w:p>
        </w:tc>
        <w:tc>
          <w:tcPr>
            <w:tcW w:w="1909" w:type="dxa"/>
            <w:vAlign w:val="center"/>
          </w:tcPr>
          <w:p w14:paraId="4BB72C94" w14:textId="09F72597" w:rsidR="005431D4" w:rsidRPr="00991F95"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UMN</w:t>
            </w:r>
          </w:p>
        </w:tc>
        <w:tc>
          <w:tcPr>
            <w:tcW w:w="3145" w:type="dxa"/>
            <w:vAlign w:val="center"/>
          </w:tcPr>
          <w:p w14:paraId="4D361969" w14:textId="3CE75535" w:rsidR="005431D4" w:rsidRPr="00991F95" w:rsidRDefault="00CD0AD8" w:rsidP="00991F95">
            <w:pPr>
              <w:pStyle w:val="Bodycopy"/>
              <w:rPr>
                <w:rFonts w:ascii="Calibri" w:hAnsi="Calibri" w:cs="Arial"/>
                <w:noProof/>
                <w:color w:val="auto"/>
                <w:sz w:val="22"/>
                <w:szCs w:val="22"/>
              </w:rPr>
            </w:pPr>
            <w:r>
              <w:rPr>
                <w:rFonts w:ascii="Calibri" w:hAnsi="Calibri" w:cs="Arial"/>
                <w:noProof/>
                <w:color w:val="auto"/>
                <w:sz w:val="22"/>
                <w:szCs w:val="22"/>
              </w:rPr>
              <w:t>Project manager, tick ID, testing</w:t>
            </w:r>
          </w:p>
        </w:tc>
      </w:tr>
      <w:tr w:rsidR="00CD0AD8" w14:paraId="5278A7EE" w14:textId="77777777" w:rsidTr="00CD0AD8">
        <w:trPr>
          <w:trHeight w:val="143"/>
        </w:trPr>
        <w:tc>
          <w:tcPr>
            <w:tcW w:w="2517" w:type="dxa"/>
            <w:vAlign w:val="center"/>
          </w:tcPr>
          <w:p w14:paraId="60E92572" w14:textId="1B035C3C" w:rsidR="006D3EFD"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Ulrike Munderloh</w:t>
            </w:r>
          </w:p>
        </w:tc>
        <w:tc>
          <w:tcPr>
            <w:tcW w:w="2499" w:type="dxa"/>
            <w:vAlign w:val="center"/>
          </w:tcPr>
          <w:p w14:paraId="6B4E7921" w14:textId="5CB9485F" w:rsidR="006D3EFD"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Professor</w:t>
            </w:r>
          </w:p>
        </w:tc>
        <w:tc>
          <w:tcPr>
            <w:tcW w:w="1909" w:type="dxa"/>
            <w:vAlign w:val="center"/>
          </w:tcPr>
          <w:p w14:paraId="3C89C459" w14:textId="34505922" w:rsidR="006D3EFD"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UMN</w:t>
            </w:r>
          </w:p>
        </w:tc>
        <w:tc>
          <w:tcPr>
            <w:tcW w:w="3145" w:type="dxa"/>
            <w:vAlign w:val="center"/>
          </w:tcPr>
          <w:p w14:paraId="0C3E70C3" w14:textId="62E2E0A0" w:rsidR="006D3EFD" w:rsidRPr="00991F95" w:rsidRDefault="006D3EFD" w:rsidP="00991F95">
            <w:pPr>
              <w:pStyle w:val="Bodycopy"/>
              <w:rPr>
                <w:rFonts w:ascii="Calibri" w:hAnsi="Calibri" w:cs="Arial"/>
                <w:noProof/>
                <w:color w:val="auto"/>
                <w:sz w:val="22"/>
                <w:szCs w:val="22"/>
              </w:rPr>
            </w:pPr>
            <w:r>
              <w:rPr>
                <w:rFonts w:ascii="Calibri" w:hAnsi="Calibri" w:cs="Arial"/>
                <w:noProof/>
                <w:color w:val="auto"/>
                <w:sz w:val="22"/>
                <w:szCs w:val="22"/>
              </w:rPr>
              <w:t>Tick ID, testing</w:t>
            </w:r>
          </w:p>
        </w:tc>
      </w:tr>
    </w:tbl>
    <w:p w14:paraId="67962EC1" w14:textId="77777777" w:rsidR="005431D4" w:rsidRPr="00157A46" w:rsidRDefault="005431D4" w:rsidP="005431D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2569"/>
        <w:gridCol w:w="2521"/>
        <w:gridCol w:w="2494"/>
        <w:gridCol w:w="2486"/>
      </w:tblGrid>
      <w:tr w:rsidR="009E509C" w14:paraId="4DCCDEBE" w14:textId="77777777" w:rsidTr="00991F95">
        <w:tc>
          <w:tcPr>
            <w:tcW w:w="2569" w:type="dxa"/>
          </w:tcPr>
          <w:p w14:paraId="078C90A3" w14:textId="77777777" w:rsidR="005431D4" w:rsidRDefault="005431D4" w:rsidP="005439D5">
            <w:pPr>
              <w:pStyle w:val="Bodycopy"/>
              <w:rPr>
                <w:rFonts w:ascii="Calibri" w:hAnsi="Calibri" w:cs="Arial"/>
                <w:b/>
                <w:noProof/>
                <w:color w:val="auto"/>
                <w:sz w:val="22"/>
                <w:szCs w:val="22"/>
              </w:rPr>
            </w:pPr>
            <w:r>
              <w:rPr>
                <w:rFonts w:ascii="Calibri" w:hAnsi="Calibri" w:cs="Arial"/>
                <w:b/>
                <w:noProof/>
                <w:color w:val="auto"/>
                <w:sz w:val="22"/>
                <w:szCs w:val="22"/>
              </w:rPr>
              <w:t>Name</w:t>
            </w:r>
          </w:p>
        </w:tc>
        <w:tc>
          <w:tcPr>
            <w:tcW w:w="2521" w:type="dxa"/>
          </w:tcPr>
          <w:p w14:paraId="36956D9F" w14:textId="77777777" w:rsidR="005431D4" w:rsidRDefault="005431D4" w:rsidP="005439D5">
            <w:pPr>
              <w:pStyle w:val="Bodycopy"/>
              <w:rPr>
                <w:rFonts w:ascii="Calibri" w:hAnsi="Calibri" w:cs="Arial"/>
                <w:b/>
                <w:noProof/>
                <w:color w:val="auto"/>
                <w:sz w:val="22"/>
                <w:szCs w:val="22"/>
              </w:rPr>
            </w:pPr>
            <w:r>
              <w:rPr>
                <w:rFonts w:ascii="Calibri" w:hAnsi="Calibri" w:cs="Arial"/>
                <w:b/>
                <w:noProof/>
                <w:color w:val="auto"/>
                <w:sz w:val="22"/>
                <w:szCs w:val="22"/>
              </w:rPr>
              <w:t>Title</w:t>
            </w:r>
          </w:p>
        </w:tc>
        <w:tc>
          <w:tcPr>
            <w:tcW w:w="2494" w:type="dxa"/>
          </w:tcPr>
          <w:p w14:paraId="1D9B2D47" w14:textId="77777777" w:rsidR="005431D4" w:rsidRDefault="005431D4" w:rsidP="005439D5">
            <w:pPr>
              <w:pStyle w:val="Bodycopy"/>
              <w:rPr>
                <w:rFonts w:ascii="Calibri" w:hAnsi="Calibri" w:cs="Arial"/>
                <w:b/>
                <w:noProof/>
                <w:color w:val="auto"/>
                <w:sz w:val="22"/>
                <w:szCs w:val="22"/>
              </w:rPr>
            </w:pPr>
            <w:r>
              <w:rPr>
                <w:rFonts w:ascii="Calibri" w:hAnsi="Calibri" w:cs="Arial"/>
                <w:b/>
                <w:noProof/>
                <w:color w:val="auto"/>
                <w:sz w:val="22"/>
                <w:szCs w:val="22"/>
              </w:rPr>
              <w:t>Affiliation</w:t>
            </w:r>
          </w:p>
        </w:tc>
        <w:tc>
          <w:tcPr>
            <w:tcW w:w="2486" w:type="dxa"/>
          </w:tcPr>
          <w:p w14:paraId="6524BF54" w14:textId="77777777" w:rsidR="005431D4" w:rsidRDefault="005431D4" w:rsidP="005439D5">
            <w:pPr>
              <w:pStyle w:val="Bodycopy"/>
              <w:rPr>
                <w:rFonts w:ascii="Calibri" w:hAnsi="Calibri" w:cs="Arial"/>
                <w:b/>
                <w:noProof/>
                <w:color w:val="auto"/>
                <w:sz w:val="22"/>
                <w:szCs w:val="22"/>
              </w:rPr>
            </w:pPr>
            <w:r>
              <w:rPr>
                <w:rFonts w:ascii="Calibri" w:hAnsi="Calibri" w:cs="Arial"/>
                <w:b/>
                <w:noProof/>
                <w:color w:val="auto"/>
                <w:sz w:val="22"/>
                <w:szCs w:val="22"/>
              </w:rPr>
              <w:t>Role</w:t>
            </w:r>
          </w:p>
        </w:tc>
      </w:tr>
      <w:tr w:rsidR="009E509C" w14:paraId="0EC42E08" w14:textId="77777777" w:rsidTr="00991F95">
        <w:tc>
          <w:tcPr>
            <w:tcW w:w="2569" w:type="dxa"/>
          </w:tcPr>
          <w:p w14:paraId="478A0813" w14:textId="0A104C65" w:rsidR="005431D4" w:rsidRPr="00991F95" w:rsidRDefault="006D3EFD" w:rsidP="005439D5">
            <w:pPr>
              <w:pStyle w:val="Bodycopy"/>
              <w:rPr>
                <w:rFonts w:ascii="Calibri" w:hAnsi="Calibri" w:cs="Arial"/>
                <w:noProof/>
                <w:color w:val="auto"/>
                <w:sz w:val="22"/>
                <w:szCs w:val="22"/>
              </w:rPr>
            </w:pPr>
            <w:r>
              <w:rPr>
                <w:rFonts w:ascii="Calibri" w:hAnsi="Calibri" w:cs="Arial"/>
                <w:noProof/>
                <w:color w:val="auto"/>
                <w:sz w:val="22"/>
                <w:szCs w:val="22"/>
              </w:rPr>
              <w:t>David Neitzel</w:t>
            </w:r>
          </w:p>
        </w:tc>
        <w:tc>
          <w:tcPr>
            <w:tcW w:w="2521" w:type="dxa"/>
          </w:tcPr>
          <w:p w14:paraId="15648DB5" w14:textId="19B787C5" w:rsidR="005431D4" w:rsidRPr="00991F95" w:rsidRDefault="006D3EFD" w:rsidP="005439D5">
            <w:pPr>
              <w:pStyle w:val="Bodycopy"/>
              <w:rPr>
                <w:rFonts w:ascii="Calibri" w:hAnsi="Calibri" w:cs="Arial"/>
                <w:noProof/>
                <w:color w:val="auto"/>
                <w:sz w:val="22"/>
                <w:szCs w:val="22"/>
              </w:rPr>
            </w:pPr>
            <w:r w:rsidRPr="00991F95">
              <w:rPr>
                <w:rFonts w:ascii="Calibri" w:hAnsi="Calibri" w:cs="Arial"/>
                <w:noProof/>
                <w:color w:val="auto"/>
                <w:sz w:val="22"/>
                <w:szCs w:val="22"/>
              </w:rPr>
              <w:t>Supervisor</w:t>
            </w:r>
          </w:p>
        </w:tc>
        <w:tc>
          <w:tcPr>
            <w:tcW w:w="2494" w:type="dxa"/>
          </w:tcPr>
          <w:p w14:paraId="4D9D1333" w14:textId="18F14F1A" w:rsidR="005431D4" w:rsidRPr="00991F95" w:rsidRDefault="006D3EFD" w:rsidP="005439D5">
            <w:pPr>
              <w:pStyle w:val="Bodycopy"/>
              <w:rPr>
                <w:rFonts w:ascii="Calibri" w:hAnsi="Calibri" w:cs="Arial"/>
                <w:noProof/>
                <w:color w:val="auto"/>
                <w:sz w:val="22"/>
                <w:szCs w:val="22"/>
              </w:rPr>
            </w:pPr>
            <w:r>
              <w:rPr>
                <w:rFonts w:ascii="Calibri" w:hAnsi="Calibri" w:cs="Arial"/>
                <w:noProof/>
                <w:color w:val="auto"/>
                <w:sz w:val="22"/>
                <w:szCs w:val="22"/>
              </w:rPr>
              <w:t>MDH</w:t>
            </w:r>
          </w:p>
        </w:tc>
        <w:tc>
          <w:tcPr>
            <w:tcW w:w="2486" w:type="dxa"/>
          </w:tcPr>
          <w:p w14:paraId="1DF65915" w14:textId="087E28FB" w:rsidR="005431D4" w:rsidRPr="00991F95" w:rsidRDefault="006D3EFD" w:rsidP="005439D5">
            <w:pPr>
              <w:pStyle w:val="Bodycopy"/>
              <w:rPr>
                <w:rFonts w:ascii="Calibri" w:hAnsi="Calibri" w:cs="Arial"/>
                <w:noProof/>
                <w:color w:val="auto"/>
                <w:sz w:val="22"/>
                <w:szCs w:val="22"/>
              </w:rPr>
            </w:pPr>
            <w:r>
              <w:rPr>
                <w:rFonts w:ascii="Calibri" w:hAnsi="Calibri" w:cs="Arial"/>
                <w:noProof/>
                <w:color w:val="auto"/>
                <w:sz w:val="22"/>
                <w:szCs w:val="22"/>
              </w:rPr>
              <w:t>Tick ID, outreach</w:t>
            </w:r>
          </w:p>
        </w:tc>
      </w:tr>
      <w:tr w:rsidR="006D3EFD" w14:paraId="2B1CEB0E" w14:textId="77777777" w:rsidTr="00991F95">
        <w:tc>
          <w:tcPr>
            <w:tcW w:w="2569" w:type="dxa"/>
          </w:tcPr>
          <w:p w14:paraId="1A847C6C" w14:textId="5DA6788C" w:rsidR="006D3EFD"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Stacey Schwabenlander</w:t>
            </w:r>
          </w:p>
        </w:tc>
        <w:tc>
          <w:tcPr>
            <w:tcW w:w="2521" w:type="dxa"/>
          </w:tcPr>
          <w:p w14:paraId="67A5F6CD" w14:textId="3E360C92" w:rsidR="006D3EFD" w:rsidRPr="00991F95"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Senior Veterinarian</w:t>
            </w:r>
          </w:p>
        </w:tc>
        <w:tc>
          <w:tcPr>
            <w:tcW w:w="2494" w:type="dxa"/>
          </w:tcPr>
          <w:p w14:paraId="64F9FFD2" w14:textId="3D1A08CA" w:rsidR="006D3EFD"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BAH</w:t>
            </w:r>
          </w:p>
        </w:tc>
        <w:tc>
          <w:tcPr>
            <w:tcW w:w="2486" w:type="dxa"/>
          </w:tcPr>
          <w:p w14:paraId="65D803F6" w14:textId="59009C72" w:rsidR="006D3EFD"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Outreach</w:t>
            </w:r>
          </w:p>
        </w:tc>
      </w:tr>
      <w:tr w:rsidR="009E509C" w14:paraId="07DDAF3C" w14:textId="77777777" w:rsidTr="00991F95">
        <w:tc>
          <w:tcPr>
            <w:tcW w:w="2569" w:type="dxa"/>
          </w:tcPr>
          <w:p w14:paraId="634700A9" w14:textId="2FA61148"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Christopher Jennelle</w:t>
            </w:r>
          </w:p>
        </w:tc>
        <w:tc>
          <w:tcPr>
            <w:tcW w:w="2521" w:type="dxa"/>
          </w:tcPr>
          <w:p w14:paraId="35F13999" w14:textId="2C18A93A"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Research Scientist</w:t>
            </w:r>
          </w:p>
        </w:tc>
        <w:tc>
          <w:tcPr>
            <w:tcW w:w="2494" w:type="dxa"/>
          </w:tcPr>
          <w:p w14:paraId="023B7322" w14:textId="0D37EB9C"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DNR</w:t>
            </w:r>
          </w:p>
        </w:tc>
        <w:tc>
          <w:tcPr>
            <w:tcW w:w="2486" w:type="dxa"/>
          </w:tcPr>
          <w:p w14:paraId="3DBC9CF1" w14:textId="3FD74A82"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Sampling</w:t>
            </w:r>
          </w:p>
        </w:tc>
      </w:tr>
      <w:tr w:rsidR="009E509C" w14:paraId="4862974A" w14:textId="77777777" w:rsidTr="00991F95">
        <w:tc>
          <w:tcPr>
            <w:tcW w:w="2569" w:type="dxa"/>
          </w:tcPr>
          <w:p w14:paraId="6C17E314" w14:textId="1FD56533"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Janet Jarnefeld</w:t>
            </w:r>
          </w:p>
        </w:tc>
        <w:tc>
          <w:tcPr>
            <w:tcW w:w="2521" w:type="dxa"/>
          </w:tcPr>
          <w:p w14:paraId="6B6F6B3A" w14:textId="21F7C1C3"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Tick Vector Services</w:t>
            </w:r>
          </w:p>
        </w:tc>
        <w:tc>
          <w:tcPr>
            <w:tcW w:w="2494" w:type="dxa"/>
          </w:tcPr>
          <w:p w14:paraId="2C717EBE" w14:textId="57DD8BE4"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MMCD</w:t>
            </w:r>
          </w:p>
        </w:tc>
        <w:tc>
          <w:tcPr>
            <w:tcW w:w="2486" w:type="dxa"/>
          </w:tcPr>
          <w:p w14:paraId="1917FD71" w14:textId="51E18221"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Sampling</w:t>
            </w:r>
          </w:p>
        </w:tc>
      </w:tr>
      <w:tr w:rsidR="009E509C" w14:paraId="620376B7" w14:textId="77777777" w:rsidTr="00991F95">
        <w:tc>
          <w:tcPr>
            <w:tcW w:w="2569" w:type="dxa"/>
          </w:tcPr>
          <w:p w14:paraId="535BA288" w14:textId="75DF2FCC"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Renee Schott</w:t>
            </w:r>
          </w:p>
        </w:tc>
        <w:tc>
          <w:tcPr>
            <w:tcW w:w="2521" w:type="dxa"/>
          </w:tcPr>
          <w:p w14:paraId="7D771E88" w14:textId="057BBF73"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Medical Director</w:t>
            </w:r>
          </w:p>
        </w:tc>
        <w:tc>
          <w:tcPr>
            <w:tcW w:w="2494" w:type="dxa"/>
          </w:tcPr>
          <w:p w14:paraId="5DDB5385" w14:textId="4FF6B185"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WRC</w:t>
            </w:r>
          </w:p>
        </w:tc>
        <w:tc>
          <w:tcPr>
            <w:tcW w:w="2486" w:type="dxa"/>
          </w:tcPr>
          <w:p w14:paraId="422008EE" w14:textId="034BEF31" w:rsidR="009E509C" w:rsidRDefault="009E509C" w:rsidP="005439D5">
            <w:pPr>
              <w:pStyle w:val="Bodycopy"/>
              <w:rPr>
                <w:rFonts w:ascii="Calibri" w:hAnsi="Calibri" w:cs="Arial"/>
                <w:noProof/>
                <w:color w:val="auto"/>
                <w:sz w:val="22"/>
                <w:szCs w:val="22"/>
              </w:rPr>
            </w:pPr>
            <w:r>
              <w:rPr>
                <w:rFonts w:ascii="Calibri" w:hAnsi="Calibri" w:cs="Arial"/>
                <w:noProof/>
                <w:color w:val="auto"/>
                <w:sz w:val="22"/>
                <w:szCs w:val="22"/>
              </w:rPr>
              <w:t>Sampling</w:t>
            </w:r>
          </w:p>
        </w:tc>
      </w:tr>
    </w:tbl>
    <w:p w14:paraId="61C09F6B" w14:textId="77D1829A" w:rsidR="00991F95" w:rsidRPr="00991F95" w:rsidRDefault="00991F95" w:rsidP="006E0EFD">
      <w:pPr>
        <w:rPr>
          <w:rFonts w:cs="Arial"/>
          <w:b/>
          <w:sz w:val="10"/>
          <w:szCs w:val="10"/>
        </w:rPr>
      </w:pPr>
    </w:p>
    <w:p w14:paraId="24FBE9ED"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LONG-TERM- IMPLEMENTATION AND FUNDING:</w:t>
      </w:r>
    </w:p>
    <w:p w14:paraId="03CA3519" w14:textId="549A0795" w:rsidR="00EC0305" w:rsidRPr="009E1AFD" w:rsidRDefault="00D75B44" w:rsidP="006E0EFD">
      <w:pPr>
        <w:rPr>
          <w:rFonts w:cs="Arial"/>
        </w:rPr>
      </w:pPr>
      <w:r>
        <w:rPr>
          <w:rFonts w:cs="Arial"/>
        </w:rPr>
        <w:t>A</w:t>
      </w:r>
      <w:r w:rsidR="009E1AFD">
        <w:rPr>
          <w:rFonts w:cs="Arial"/>
        </w:rPr>
        <w:t>n early warning network for invasive ticks will produce a partnership among</w:t>
      </w:r>
      <w:r w:rsidR="00EC0305">
        <w:rPr>
          <w:rFonts w:cs="Arial"/>
        </w:rPr>
        <w:t xml:space="preserve"> multiple state institutions. The relationships bui</w:t>
      </w:r>
      <w:r w:rsidR="00634E38">
        <w:rPr>
          <w:rFonts w:cs="Arial"/>
        </w:rPr>
        <w:t xml:space="preserve">lt between these groups </w:t>
      </w:r>
      <w:r w:rsidR="00EC0305">
        <w:rPr>
          <w:rFonts w:cs="Arial"/>
        </w:rPr>
        <w:t>will persist and result in continuing projects related to tick- and insect-borne diseases and wildlife/livestock health. By the end of the proposed project, we expect that invasive tick species will have arrived in Minnesota, and will switch to control and disease prevention. Data acquired through this project, in the form of the ticks submitted and identified over the course of the project will be valu</w:t>
      </w:r>
      <w:r>
        <w:rPr>
          <w:rFonts w:cs="Arial"/>
        </w:rPr>
        <w:t>able</w:t>
      </w:r>
      <w:r w:rsidR="00EC0305">
        <w:rPr>
          <w:rFonts w:cs="Arial"/>
        </w:rPr>
        <w:t xml:space="preserve"> for future collaborations, fundable by federal agencies such as the NI</w:t>
      </w:r>
      <w:r>
        <w:rPr>
          <w:rFonts w:cs="Arial"/>
        </w:rPr>
        <w:t>H</w:t>
      </w:r>
      <w:r w:rsidR="00EC0305">
        <w:rPr>
          <w:rFonts w:cs="Arial"/>
        </w:rPr>
        <w:t xml:space="preserve">, the CDC, or USDA. </w:t>
      </w:r>
      <w:r w:rsidR="007048CA">
        <w:rPr>
          <w:rFonts w:cs="Arial"/>
        </w:rPr>
        <w:t>The CDC, in particular, intends to increase funding for tick surveillance (</w:t>
      </w:r>
      <w:hyperlink r:id="rId8" w:history="1">
        <w:r w:rsidR="007048CA" w:rsidRPr="00051DB8">
          <w:rPr>
            <w:rStyle w:val="Hyperlink"/>
            <w:rFonts w:cs="Arial"/>
          </w:rPr>
          <w:t>https://www.webmd.com/arthritis/news/20190327/cdc-to-start-tracking-ticks-as-diseases-rise</w:t>
        </w:r>
      </w:hyperlink>
      <w:r w:rsidR="007048CA">
        <w:rPr>
          <w:rFonts w:cs="Arial"/>
        </w:rPr>
        <w:t>) and this project will put us in a good position to win funding through them.</w:t>
      </w:r>
    </w:p>
    <w:p w14:paraId="62B09EF1" w14:textId="77777777" w:rsidR="00991F95" w:rsidRPr="00991F95" w:rsidRDefault="00991F95" w:rsidP="005431D4">
      <w:pPr>
        <w:tabs>
          <w:tab w:val="left" w:pos="540"/>
        </w:tabs>
        <w:autoSpaceDE w:val="0"/>
        <w:autoSpaceDN w:val="0"/>
        <w:adjustRightInd w:val="0"/>
        <w:rPr>
          <w:rFonts w:cs="Arial"/>
          <w:b/>
          <w:bCs/>
          <w:color w:val="000000"/>
          <w:sz w:val="12"/>
          <w:szCs w:val="12"/>
        </w:rPr>
      </w:pPr>
    </w:p>
    <w:p w14:paraId="7F63B8CD" w14:textId="2468C740"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sidR="003578A0">
        <w:rPr>
          <w:rFonts w:cs="Arial"/>
          <w:b/>
          <w:bCs/>
          <w:color w:val="000000"/>
        </w:rPr>
        <w:t>TIME LINE</w:t>
      </w:r>
      <w:r w:rsidRPr="00AF4ECD">
        <w:rPr>
          <w:rFonts w:cs="Arial"/>
          <w:b/>
          <w:bCs/>
          <w:color w:val="000000"/>
        </w:rPr>
        <w:t xml:space="preserve"> REQUIREMENTS:</w:t>
      </w:r>
    </w:p>
    <w:p w14:paraId="40EE3F93" w14:textId="343F5BF8" w:rsidR="006E0EFD" w:rsidRPr="009D6EC8" w:rsidRDefault="00062E4C" w:rsidP="006E0EFD">
      <w:pPr>
        <w:rPr>
          <w:rFonts w:cs="Arial"/>
        </w:rPr>
      </w:pPr>
      <w:r>
        <w:rPr>
          <w:rFonts w:cs="Arial"/>
        </w:rPr>
        <w:lastRenderedPageBreak/>
        <w:t xml:space="preserve">Given </w:t>
      </w:r>
      <w:r w:rsidR="00D75B44">
        <w:rPr>
          <w:rFonts w:cs="Arial"/>
        </w:rPr>
        <w:t xml:space="preserve">the rapid spread of </w:t>
      </w:r>
      <w:r>
        <w:rPr>
          <w:rFonts w:cs="Arial"/>
        </w:rPr>
        <w:t xml:space="preserve">the Asian longhorned tick in the US, it </w:t>
      </w:r>
      <w:r w:rsidR="00D75B44">
        <w:rPr>
          <w:rFonts w:cs="Arial"/>
        </w:rPr>
        <w:t>ma</w:t>
      </w:r>
      <w:r>
        <w:rPr>
          <w:rFonts w:cs="Arial"/>
        </w:rPr>
        <w:t>y reach Minnesota soon.</w:t>
      </w:r>
      <w:r w:rsidR="00634E38">
        <w:rPr>
          <w:rFonts w:cs="Arial"/>
        </w:rPr>
        <w:t xml:space="preserve"> We plan to build the project over the course of 3 years. </w:t>
      </w:r>
      <w:r w:rsidR="00E214F1">
        <w:rPr>
          <w:rFonts w:cs="Arial"/>
        </w:rPr>
        <w:t>We already have an agreement with some wildlife rehabilitation clinics to provide ticks removed from wild animals, but intend to recruit more clinics from the SE counties within the first year of the program.</w:t>
      </w:r>
      <w:r w:rsidR="00634E38">
        <w:rPr>
          <w:rFonts w:cs="Arial"/>
        </w:rPr>
        <w:t xml:space="preserve"> Outreach will grow gradually as </w:t>
      </w:r>
      <w:r w:rsidR="00D75B44">
        <w:rPr>
          <w:rFonts w:cs="Arial"/>
        </w:rPr>
        <w:t xml:space="preserve">we learn </w:t>
      </w:r>
      <w:r w:rsidR="00634E38">
        <w:rPr>
          <w:rFonts w:cs="Arial"/>
        </w:rPr>
        <w:t xml:space="preserve">about the tick and the diseases it can transmit. We will prepare materials to aid in participant recruitment when the project begins, and </w:t>
      </w:r>
      <w:r w:rsidR="00D75B44">
        <w:rPr>
          <w:rFonts w:cs="Arial"/>
        </w:rPr>
        <w:t>to</w:t>
      </w:r>
      <w:r w:rsidR="00634E38">
        <w:rPr>
          <w:rFonts w:cs="Arial"/>
        </w:rPr>
        <w:t xml:space="preserve"> disseminate to state fair visitors in the first year. Presentations to interested groups on tick-borne disease risk and risks of the Asian longhorned tick, in particular, will be available soon after commencement.</w:t>
      </w:r>
    </w:p>
    <w:sectPr w:rsidR="006E0EFD" w:rsidRPr="009D6EC8" w:rsidSect="00E47145">
      <w:headerReference w:type="default" r:id="rId9"/>
      <w:footerReference w:type="default" r:id="rId10"/>
      <w:headerReference w:type="first" r:id="rId11"/>
      <w:footerReference w:type="first" r:id="rId12"/>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BD019" w14:textId="77777777" w:rsidR="00A34AE4" w:rsidRDefault="00A34AE4" w:rsidP="00533120">
      <w:r>
        <w:separator/>
      </w:r>
    </w:p>
  </w:endnote>
  <w:endnote w:type="continuationSeparator" w:id="0">
    <w:p w14:paraId="1E266DBA" w14:textId="77777777" w:rsidR="00A34AE4" w:rsidRDefault="00A34AE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9DF04" w14:textId="0EE3245E" w:rsidR="005F7237" w:rsidRDefault="005F7237">
    <w:pPr>
      <w:pStyle w:val="Footer"/>
      <w:jc w:val="center"/>
    </w:pPr>
    <w:r>
      <w:fldChar w:fldCharType="begin"/>
    </w:r>
    <w:r>
      <w:instrText xml:space="preserve"> PAGE   \* MERGEFORMAT </w:instrText>
    </w:r>
    <w:r>
      <w:fldChar w:fldCharType="separate"/>
    </w:r>
    <w:r w:rsidR="00E75B3E">
      <w:rPr>
        <w:noProof/>
      </w:rPr>
      <w:t>1</w:t>
    </w:r>
    <w:r>
      <w:fldChar w:fldCharType="end"/>
    </w:r>
  </w:p>
  <w:p w14:paraId="6BBD694A" w14:textId="77777777" w:rsidR="005F7237" w:rsidRDefault="005F723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54D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6D2B28E1"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A5D72" w14:textId="77777777" w:rsidR="00A34AE4" w:rsidRDefault="00A34AE4" w:rsidP="00533120">
      <w:r>
        <w:separator/>
      </w:r>
    </w:p>
  </w:footnote>
  <w:footnote w:type="continuationSeparator" w:id="0">
    <w:p w14:paraId="3C02E3B9" w14:textId="77777777" w:rsidR="00A34AE4" w:rsidRDefault="00A34AE4"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01018E50" w14:textId="77777777" w:rsidTr="00E47145">
      <w:tc>
        <w:tcPr>
          <w:tcW w:w="1278" w:type="dxa"/>
        </w:tcPr>
        <w:p w14:paraId="3F4D4863"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0121CBA" wp14:editId="71E4CF6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2DEC47A" w14:textId="77777777" w:rsidR="005F7237" w:rsidRPr="00A42E60" w:rsidRDefault="005F7237" w:rsidP="00EB5831">
          <w:pPr>
            <w:rPr>
              <w:b/>
            </w:rPr>
          </w:pPr>
          <w:r w:rsidRPr="00A42E60">
            <w:rPr>
              <w:b/>
            </w:rPr>
            <w:t>Environment and Natural Resources Trust Fund (ENRTF)</w:t>
          </w:r>
        </w:p>
        <w:p w14:paraId="07242CE1" w14:textId="33D9FD53" w:rsidR="005F7237" w:rsidRPr="00EB5831" w:rsidRDefault="001E42AC" w:rsidP="00EB5831">
          <w:pPr>
            <w:pStyle w:val="Header"/>
            <w:rPr>
              <w:b/>
              <w:lang w:val="en-US" w:eastAsia="en-US"/>
            </w:rPr>
          </w:pPr>
          <w:r>
            <w:rPr>
              <w:b/>
              <w:lang w:val="en-US" w:eastAsia="en-US"/>
            </w:rPr>
            <w:t>20</w:t>
          </w:r>
          <w:r w:rsidR="00E75B3E">
            <w:rPr>
              <w:b/>
              <w:lang w:val="en-US" w:eastAsia="en-US"/>
            </w:rPr>
            <w:t>20</w:t>
          </w:r>
          <w:r w:rsidR="005F7237" w:rsidRPr="00EB5831">
            <w:rPr>
              <w:b/>
              <w:lang w:val="en-US" w:eastAsia="en-US"/>
            </w:rPr>
            <w:t xml:space="preserve"> Main Proposal</w:t>
          </w:r>
        </w:p>
        <w:p w14:paraId="11DA5BD4" w14:textId="77777777" w:rsidR="005F7237" w:rsidRPr="00EB5831" w:rsidRDefault="005F7237" w:rsidP="00EB5831">
          <w:pPr>
            <w:pStyle w:val="Header"/>
            <w:rPr>
              <w:lang w:val="en-US" w:eastAsia="en-US"/>
            </w:rPr>
          </w:pPr>
        </w:p>
      </w:tc>
    </w:tr>
  </w:tbl>
  <w:p w14:paraId="33BD52AD"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592868E9" w14:textId="77777777" w:rsidTr="00C660F0">
      <w:tc>
        <w:tcPr>
          <w:tcW w:w="1098" w:type="dxa"/>
        </w:tcPr>
        <w:p w14:paraId="4BE144E1" w14:textId="77777777" w:rsidR="005F7237" w:rsidRPr="00EB5831" w:rsidRDefault="009541C4" w:rsidP="00C660F0">
          <w:pPr>
            <w:pStyle w:val="Header"/>
            <w:rPr>
              <w:lang w:val="en-US" w:eastAsia="en-US"/>
            </w:rPr>
          </w:pPr>
          <w:r>
            <w:rPr>
              <w:noProof/>
              <w:lang w:val="en-US" w:eastAsia="en-US"/>
            </w:rPr>
            <w:drawing>
              <wp:inline distT="0" distB="0" distL="0" distR="0" wp14:anchorId="71F4A4D6" wp14:editId="51649576">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1C1C461B" w14:textId="77777777" w:rsidR="005F7237" w:rsidRPr="00A42E60" w:rsidRDefault="005F7237" w:rsidP="00C660F0">
          <w:pPr>
            <w:rPr>
              <w:b/>
            </w:rPr>
          </w:pPr>
          <w:r w:rsidRPr="00A42E60">
            <w:rPr>
              <w:b/>
            </w:rPr>
            <w:t>Environment and Natural Resources Trust Fund (ENRTF)</w:t>
          </w:r>
        </w:p>
        <w:p w14:paraId="03BA2F89" w14:textId="77777777" w:rsidR="005F7237" w:rsidRPr="00EB5831" w:rsidRDefault="005F7237" w:rsidP="00806460">
          <w:pPr>
            <w:pStyle w:val="Header"/>
            <w:rPr>
              <w:b/>
              <w:lang w:val="en-US" w:eastAsia="en-US"/>
            </w:rPr>
          </w:pPr>
          <w:r w:rsidRPr="00EB5831">
            <w:rPr>
              <w:b/>
              <w:lang w:val="en-US" w:eastAsia="en-US"/>
            </w:rPr>
            <w:t>2014 Main Proposal</w:t>
          </w:r>
        </w:p>
        <w:p w14:paraId="18BE5750"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E4D8C1B"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0DD41B3"/>
    <w:multiLevelType w:val="hybridMultilevel"/>
    <w:tmpl w:val="FF1098CC"/>
    <w:lvl w:ilvl="0" w:tplc="178226E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11EA0"/>
    <w:multiLevelType w:val="hybridMultilevel"/>
    <w:tmpl w:val="205CAA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5AC9094E"/>
    <w:multiLevelType w:val="hybridMultilevel"/>
    <w:tmpl w:val="EA7411A2"/>
    <w:lvl w:ilvl="0" w:tplc="8182D3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3"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9"/>
  </w:num>
  <w:num w:numId="3">
    <w:abstractNumId w:val="4"/>
  </w:num>
  <w:num w:numId="4">
    <w:abstractNumId w:val="5"/>
  </w:num>
  <w:num w:numId="5">
    <w:abstractNumId w:val="13"/>
  </w:num>
  <w:num w:numId="6">
    <w:abstractNumId w:val="2"/>
  </w:num>
  <w:num w:numId="7">
    <w:abstractNumId w:val="7"/>
  </w:num>
  <w:num w:numId="8">
    <w:abstractNumId w:val="3"/>
  </w:num>
  <w:num w:numId="9">
    <w:abstractNumId w:val="12"/>
  </w:num>
  <w:num w:numId="10">
    <w:abstractNumId w:val="10"/>
  </w:num>
  <w:num w:numId="11">
    <w:abstractNumId w:val="1"/>
  </w:num>
  <w:num w:numId="12">
    <w:abstractNumId w:val="6"/>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750A"/>
    <w:rsid w:val="00020FA1"/>
    <w:rsid w:val="000216CF"/>
    <w:rsid w:val="00061EF5"/>
    <w:rsid w:val="00062497"/>
    <w:rsid w:val="00062E4C"/>
    <w:rsid w:val="00065366"/>
    <w:rsid w:val="00072340"/>
    <w:rsid w:val="00073BA3"/>
    <w:rsid w:val="00083126"/>
    <w:rsid w:val="000B34BA"/>
    <w:rsid w:val="000C3EF3"/>
    <w:rsid w:val="000D51AD"/>
    <w:rsid w:val="000D7F31"/>
    <w:rsid w:val="00100A34"/>
    <w:rsid w:val="00107495"/>
    <w:rsid w:val="00146035"/>
    <w:rsid w:val="00165716"/>
    <w:rsid w:val="00165A0F"/>
    <w:rsid w:val="00176365"/>
    <w:rsid w:val="0018005E"/>
    <w:rsid w:val="001B0368"/>
    <w:rsid w:val="001E42AC"/>
    <w:rsid w:val="002159DD"/>
    <w:rsid w:val="00217C2A"/>
    <w:rsid w:val="00225EE7"/>
    <w:rsid w:val="002633DD"/>
    <w:rsid w:val="00265894"/>
    <w:rsid w:val="00274A85"/>
    <w:rsid w:val="00290E4E"/>
    <w:rsid w:val="002B469A"/>
    <w:rsid w:val="002C74C6"/>
    <w:rsid w:val="002D1076"/>
    <w:rsid w:val="002D3936"/>
    <w:rsid w:val="002E6599"/>
    <w:rsid w:val="002F52B6"/>
    <w:rsid w:val="003205A7"/>
    <w:rsid w:val="003239FE"/>
    <w:rsid w:val="00347E7A"/>
    <w:rsid w:val="00351EA6"/>
    <w:rsid w:val="00354888"/>
    <w:rsid w:val="003578A0"/>
    <w:rsid w:val="0036087E"/>
    <w:rsid w:val="003723DC"/>
    <w:rsid w:val="00372E55"/>
    <w:rsid w:val="0037310D"/>
    <w:rsid w:val="0039481E"/>
    <w:rsid w:val="003A17DA"/>
    <w:rsid w:val="003A40BA"/>
    <w:rsid w:val="003D3661"/>
    <w:rsid w:val="003E6156"/>
    <w:rsid w:val="003F32CA"/>
    <w:rsid w:val="004357AE"/>
    <w:rsid w:val="004530F7"/>
    <w:rsid w:val="00454495"/>
    <w:rsid w:val="00463739"/>
    <w:rsid w:val="004716CB"/>
    <w:rsid w:val="00487D08"/>
    <w:rsid w:val="0049103C"/>
    <w:rsid w:val="00496002"/>
    <w:rsid w:val="004A43B9"/>
    <w:rsid w:val="004A4BE4"/>
    <w:rsid w:val="004A6B2C"/>
    <w:rsid w:val="004E1A58"/>
    <w:rsid w:val="004E6113"/>
    <w:rsid w:val="00523431"/>
    <w:rsid w:val="0052564E"/>
    <w:rsid w:val="0053005B"/>
    <w:rsid w:val="00533120"/>
    <w:rsid w:val="00540E93"/>
    <w:rsid w:val="005431D4"/>
    <w:rsid w:val="00550B29"/>
    <w:rsid w:val="005648A9"/>
    <w:rsid w:val="005A1D00"/>
    <w:rsid w:val="005A4FB1"/>
    <w:rsid w:val="005E32C6"/>
    <w:rsid w:val="005E540F"/>
    <w:rsid w:val="005F0B5D"/>
    <w:rsid w:val="005F0DBA"/>
    <w:rsid w:val="005F1006"/>
    <w:rsid w:val="005F4D6C"/>
    <w:rsid w:val="005F7237"/>
    <w:rsid w:val="00602068"/>
    <w:rsid w:val="00614DF2"/>
    <w:rsid w:val="00634E38"/>
    <w:rsid w:val="00640A9A"/>
    <w:rsid w:val="006414D8"/>
    <w:rsid w:val="006562F0"/>
    <w:rsid w:val="0066228A"/>
    <w:rsid w:val="0067685B"/>
    <w:rsid w:val="00677B95"/>
    <w:rsid w:val="00681F2F"/>
    <w:rsid w:val="006832CD"/>
    <w:rsid w:val="006859F6"/>
    <w:rsid w:val="00686B53"/>
    <w:rsid w:val="00687994"/>
    <w:rsid w:val="006D3EFD"/>
    <w:rsid w:val="006E0EFD"/>
    <w:rsid w:val="006F7F24"/>
    <w:rsid w:val="007048CA"/>
    <w:rsid w:val="00711A24"/>
    <w:rsid w:val="00714BCE"/>
    <w:rsid w:val="00721661"/>
    <w:rsid w:val="00731A65"/>
    <w:rsid w:val="00736BE8"/>
    <w:rsid w:val="007578B2"/>
    <w:rsid w:val="0079408E"/>
    <w:rsid w:val="007B284F"/>
    <w:rsid w:val="007B3535"/>
    <w:rsid w:val="007B39C1"/>
    <w:rsid w:val="007E0ADA"/>
    <w:rsid w:val="007F0753"/>
    <w:rsid w:val="00806460"/>
    <w:rsid w:val="008076FB"/>
    <w:rsid w:val="00840D90"/>
    <w:rsid w:val="00864887"/>
    <w:rsid w:val="00866788"/>
    <w:rsid w:val="008949EE"/>
    <w:rsid w:val="00896653"/>
    <w:rsid w:val="008A088E"/>
    <w:rsid w:val="008A4498"/>
    <w:rsid w:val="008C039B"/>
    <w:rsid w:val="008C3D28"/>
    <w:rsid w:val="008D13EE"/>
    <w:rsid w:val="008D2242"/>
    <w:rsid w:val="00910DB8"/>
    <w:rsid w:val="00912C65"/>
    <w:rsid w:val="00922612"/>
    <w:rsid w:val="009475C2"/>
    <w:rsid w:val="009541C4"/>
    <w:rsid w:val="00991F95"/>
    <w:rsid w:val="009A49DE"/>
    <w:rsid w:val="009B2FC0"/>
    <w:rsid w:val="009B6749"/>
    <w:rsid w:val="009C16B6"/>
    <w:rsid w:val="009C3960"/>
    <w:rsid w:val="009C463D"/>
    <w:rsid w:val="009C4875"/>
    <w:rsid w:val="009D0E57"/>
    <w:rsid w:val="009D14B4"/>
    <w:rsid w:val="009D6EC8"/>
    <w:rsid w:val="009E1AFD"/>
    <w:rsid w:val="009E509C"/>
    <w:rsid w:val="00A03E0A"/>
    <w:rsid w:val="00A110C4"/>
    <w:rsid w:val="00A12E89"/>
    <w:rsid w:val="00A13814"/>
    <w:rsid w:val="00A13F26"/>
    <w:rsid w:val="00A34AE4"/>
    <w:rsid w:val="00A42E60"/>
    <w:rsid w:val="00A45A41"/>
    <w:rsid w:val="00A55590"/>
    <w:rsid w:val="00A5561D"/>
    <w:rsid w:val="00A61AB5"/>
    <w:rsid w:val="00A7257F"/>
    <w:rsid w:val="00A73B75"/>
    <w:rsid w:val="00A81BE7"/>
    <w:rsid w:val="00AB371D"/>
    <w:rsid w:val="00AB493C"/>
    <w:rsid w:val="00AC1853"/>
    <w:rsid w:val="00AC2C07"/>
    <w:rsid w:val="00AC2CDE"/>
    <w:rsid w:val="00AD3337"/>
    <w:rsid w:val="00AD4385"/>
    <w:rsid w:val="00AF1D30"/>
    <w:rsid w:val="00B160E4"/>
    <w:rsid w:val="00B22334"/>
    <w:rsid w:val="00B271CE"/>
    <w:rsid w:val="00B364E5"/>
    <w:rsid w:val="00B728BF"/>
    <w:rsid w:val="00B8369A"/>
    <w:rsid w:val="00B86A22"/>
    <w:rsid w:val="00B94BF0"/>
    <w:rsid w:val="00BC28A6"/>
    <w:rsid w:val="00BF0B17"/>
    <w:rsid w:val="00C02DAD"/>
    <w:rsid w:val="00C12EB1"/>
    <w:rsid w:val="00C52E67"/>
    <w:rsid w:val="00C660F0"/>
    <w:rsid w:val="00C6613E"/>
    <w:rsid w:val="00C72BD9"/>
    <w:rsid w:val="00C82CD3"/>
    <w:rsid w:val="00C831EF"/>
    <w:rsid w:val="00C85E92"/>
    <w:rsid w:val="00C952E4"/>
    <w:rsid w:val="00CA2033"/>
    <w:rsid w:val="00CB652D"/>
    <w:rsid w:val="00CD0AD8"/>
    <w:rsid w:val="00CE20AC"/>
    <w:rsid w:val="00CF0035"/>
    <w:rsid w:val="00CF327A"/>
    <w:rsid w:val="00D02E23"/>
    <w:rsid w:val="00D121DD"/>
    <w:rsid w:val="00D25619"/>
    <w:rsid w:val="00D32060"/>
    <w:rsid w:val="00D32CFB"/>
    <w:rsid w:val="00D4484A"/>
    <w:rsid w:val="00D651D7"/>
    <w:rsid w:val="00D75B44"/>
    <w:rsid w:val="00D818AC"/>
    <w:rsid w:val="00DD38CC"/>
    <w:rsid w:val="00DE5B41"/>
    <w:rsid w:val="00E03EC8"/>
    <w:rsid w:val="00E214F1"/>
    <w:rsid w:val="00E47145"/>
    <w:rsid w:val="00E5279E"/>
    <w:rsid w:val="00E619C4"/>
    <w:rsid w:val="00E75B3E"/>
    <w:rsid w:val="00E76D57"/>
    <w:rsid w:val="00E8246A"/>
    <w:rsid w:val="00EB5831"/>
    <w:rsid w:val="00EC0305"/>
    <w:rsid w:val="00EC54FD"/>
    <w:rsid w:val="00F338EB"/>
    <w:rsid w:val="00F42243"/>
    <w:rsid w:val="00F42507"/>
    <w:rsid w:val="00F70DE4"/>
    <w:rsid w:val="00F85C23"/>
    <w:rsid w:val="00F9232B"/>
    <w:rsid w:val="00F92864"/>
    <w:rsid w:val="00F96203"/>
    <w:rsid w:val="00F97C94"/>
    <w:rsid w:val="00FB05DA"/>
    <w:rsid w:val="00FC1CE2"/>
    <w:rsid w:val="00FD4CCC"/>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6C61CE"/>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Hyperlink">
    <w:name w:val="Hyperlink"/>
    <w:basedOn w:val="DefaultParagraphFont"/>
    <w:uiPriority w:val="99"/>
    <w:unhideWhenUsed/>
    <w:rsid w:val="007048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066290873">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arthritis/news/20190327/cdc-to-start-tracking-ticks-as-diseases-r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F9550-4401-4C0B-8EF9-29C2872C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1065</Words>
  <Characters>6073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2017-12-18T15:03:00Z</cp:lastPrinted>
  <dcterms:created xsi:type="dcterms:W3CDTF">2019-05-07T14:58:00Z</dcterms:created>
  <dcterms:modified xsi:type="dcterms:W3CDTF">2019-05-07T14:58:00Z</dcterms:modified>
</cp:coreProperties>
</file>