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55B3" w14:textId="3AD4C809" w:rsidR="00A6472D" w:rsidRDefault="006E0EFD" w:rsidP="001133CD">
      <w:pPr>
        <w:spacing w:after="120"/>
        <w:outlineLvl w:val="0"/>
        <w:rPr>
          <w:rFonts w:cs="Arial"/>
        </w:rPr>
      </w:pPr>
      <w:bookmarkStart w:id="0" w:name="_GoBack"/>
      <w:bookmarkEnd w:id="0"/>
      <w:r w:rsidRPr="009D6EC8">
        <w:rPr>
          <w:rFonts w:cs="Arial"/>
          <w:b/>
        </w:rPr>
        <w:t>PROJECT TITLE:</w:t>
      </w:r>
      <w:r w:rsidR="00A55570">
        <w:rPr>
          <w:rFonts w:cs="Arial"/>
          <w:b/>
        </w:rPr>
        <w:t xml:space="preserve"> </w:t>
      </w:r>
      <w:r w:rsidR="00A40261">
        <w:rPr>
          <w:rFonts w:cs="Arial"/>
          <w:b/>
        </w:rPr>
        <w:t xml:space="preserve"> </w:t>
      </w:r>
      <w:r w:rsidR="00A40261">
        <w:rPr>
          <w:rFonts w:cs="Arial"/>
        </w:rPr>
        <w:t xml:space="preserve"> </w:t>
      </w:r>
      <w:r w:rsidR="00810B50">
        <w:rPr>
          <w:rFonts w:cs="Arial"/>
        </w:rPr>
        <w:t>Enriching</w:t>
      </w:r>
      <w:r w:rsidR="00572F2A">
        <w:rPr>
          <w:rFonts w:cs="Arial"/>
        </w:rPr>
        <w:t xml:space="preserve"> </w:t>
      </w:r>
      <w:r w:rsidR="0008551A">
        <w:rPr>
          <w:rFonts w:cs="Arial"/>
        </w:rPr>
        <w:t xml:space="preserve">natural </w:t>
      </w:r>
      <w:r w:rsidR="00572F2A">
        <w:rPr>
          <w:rFonts w:cs="Arial"/>
        </w:rPr>
        <w:t xml:space="preserve">resource </w:t>
      </w:r>
      <w:r w:rsidR="0008551A">
        <w:rPr>
          <w:rFonts w:cs="Arial"/>
        </w:rPr>
        <w:t>knowledge for informed decision making</w:t>
      </w:r>
      <w:r w:rsidR="00137D60">
        <w:rPr>
          <w:rFonts w:cs="Arial"/>
        </w:rPr>
        <w:t xml:space="preserve"> </w:t>
      </w:r>
    </w:p>
    <w:p w14:paraId="0C5FA77F" w14:textId="77777777" w:rsidR="006E0EFD" w:rsidRPr="009D6EC8" w:rsidRDefault="006E0EFD" w:rsidP="001133CD">
      <w:pPr>
        <w:spacing w:after="120"/>
        <w:outlineLvl w:val="0"/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4CA96317" w14:textId="27E2A2D0" w:rsidR="00A51BDA" w:rsidRDefault="00D330AE" w:rsidP="001133CD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University of Minnesota researchers (</w:t>
      </w:r>
      <w:r w:rsidR="00255537" w:rsidRPr="00255537">
        <w:rPr>
          <w:rFonts w:asciiTheme="minorHAnsi" w:eastAsiaTheme="minorHAnsi" w:hAnsiTheme="minorHAnsi" w:cstheme="minorBidi"/>
        </w:rPr>
        <w:t>UMD Natural Resources Research Institute</w:t>
      </w:r>
      <w:r w:rsidR="002770D4">
        <w:rPr>
          <w:rFonts w:asciiTheme="minorHAnsi" w:eastAsiaTheme="minorHAnsi" w:hAnsiTheme="minorHAnsi" w:cstheme="minorBidi"/>
        </w:rPr>
        <w:t>,</w:t>
      </w:r>
      <w:r>
        <w:rPr>
          <w:rFonts w:asciiTheme="minorHAnsi" w:eastAsiaTheme="minorHAnsi" w:hAnsiTheme="minorHAnsi" w:cstheme="minorBidi"/>
        </w:rPr>
        <w:t xml:space="preserve"> </w:t>
      </w:r>
      <w:r w:rsidR="00255537" w:rsidRPr="00255537">
        <w:rPr>
          <w:rFonts w:asciiTheme="minorHAnsi" w:eastAsiaTheme="minorHAnsi" w:hAnsiTheme="minorHAnsi" w:cstheme="minorBidi"/>
        </w:rPr>
        <w:t>Minnesota Sea Grant</w:t>
      </w:r>
      <w:r w:rsidR="002770D4">
        <w:rPr>
          <w:rFonts w:asciiTheme="minorHAnsi" w:eastAsiaTheme="minorHAnsi" w:hAnsiTheme="minorHAnsi" w:cstheme="minorBidi"/>
        </w:rPr>
        <w:t>)</w:t>
      </w:r>
      <w:r w:rsidR="00255537" w:rsidRPr="00255537">
        <w:rPr>
          <w:rFonts w:asciiTheme="minorHAnsi" w:eastAsiaTheme="minorHAnsi" w:hAnsiTheme="minorHAnsi" w:cstheme="minorBidi"/>
        </w:rPr>
        <w:t xml:space="preserve"> propose </w:t>
      </w:r>
      <w:r w:rsidR="00787C8D">
        <w:rPr>
          <w:rFonts w:asciiTheme="minorHAnsi" w:eastAsiaTheme="minorHAnsi" w:hAnsiTheme="minorHAnsi" w:cstheme="minorBidi"/>
        </w:rPr>
        <w:t>a pilot</w:t>
      </w:r>
      <w:r w:rsidR="00907F70">
        <w:rPr>
          <w:rFonts w:asciiTheme="minorHAnsi" w:eastAsiaTheme="minorHAnsi" w:hAnsiTheme="minorHAnsi" w:cstheme="minorBidi"/>
        </w:rPr>
        <w:t xml:space="preserve"> </w:t>
      </w:r>
      <w:r w:rsidR="00565C12">
        <w:rPr>
          <w:rFonts w:asciiTheme="minorHAnsi" w:eastAsiaTheme="minorHAnsi" w:hAnsiTheme="minorHAnsi" w:cstheme="minorBidi"/>
        </w:rPr>
        <w:t xml:space="preserve">educational and informational </w:t>
      </w:r>
      <w:r w:rsidR="00907F70">
        <w:rPr>
          <w:rFonts w:asciiTheme="minorHAnsi" w:eastAsiaTheme="minorHAnsi" w:hAnsiTheme="minorHAnsi" w:cstheme="minorBidi"/>
        </w:rPr>
        <w:t>outreach program</w:t>
      </w:r>
      <w:r w:rsidR="00A51BDA">
        <w:rPr>
          <w:rFonts w:asciiTheme="minorHAnsi" w:eastAsiaTheme="minorHAnsi" w:hAnsiTheme="minorHAnsi" w:cstheme="minorBidi"/>
        </w:rPr>
        <w:t xml:space="preserve"> to identify/assemble/dissemina</w:t>
      </w:r>
      <w:r w:rsidR="00335DFF">
        <w:rPr>
          <w:rFonts w:asciiTheme="minorHAnsi" w:eastAsiaTheme="minorHAnsi" w:hAnsiTheme="minorHAnsi" w:cstheme="minorBidi"/>
        </w:rPr>
        <w:t xml:space="preserve">te </w:t>
      </w:r>
      <w:r w:rsidR="00A51BDA">
        <w:rPr>
          <w:rFonts w:asciiTheme="minorHAnsi" w:eastAsiaTheme="minorHAnsi" w:hAnsiTheme="minorHAnsi" w:cstheme="minorBidi"/>
        </w:rPr>
        <w:t xml:space="preserve">validated information regarding the complex interactions between Minnesota’s clean water and mineral resources. </w:t>
      </w:r>
      <w:r w:rsidR="00565C12">
        <w:rPr>
          <w:rFonts w:asciiTheme="minorHAnsi" w:eastAsiaTheme="minorHAnsi" w:hAnsiTheme="minorHAnsi" w:cstheme="minorBidi"/>
        </w:rPr>
        <w:t xml:space="preserve"> The program </w:t>
      </w:r>
      <w:r w:rsidR="00C91FD7">
        <w:rPr>
          <w:rFonts w:asciiTheme="minorHAnsi" w:eastAsiaTheme="minorHAnsi" w:hAnsiTheme="minorHAnsi" w:cstheme="minorBidi"/>
        </w:rPr>
        <w:t xml:space="preserve">will </w:t>
      </w:r>
      <w:r w:rsidR="00C603B0">
        <w:rPr>
          <w:rFonts w:asciiTheme="minorHAnsi" w:eastAsiaTheme="minorHAnsi" w:hAnsiTheme="minorHAnsi" w:cstheme="minorBidi"/>
        </w:rPr>
        <w:t>be citizen-focused</w:t>
      </w:r>
      <w:r w:rsidR="00C91FD7">
        <w:rPr>
          <w:rFonts w:asciiTheme="minorHAnsi" w:eastAsiaTheme="minorHAnsi" w:hAnsiTheme="minorHAnsi" w:cstheme="minorBidi"/>
        </w:rPr>
        <w:t xml:space="preserve"> </w:t>
      </w:r>
      <w:r w:rsidR="00C603B0">
        <w:rPr>
          <w:rFonts w:asciiTheme="minorHAnsi" w:eastAsiaTheme="minorHAnsi" w:hAnsiTheme="minorHAnsi" w:cstheme="minorBidi"/>
        </w:rPr>
        <w:t xml:space="preserve">and </w:t>
      </w:r>
      <w:r w:rsidR="00565C12">
        <w:rPr>
          <w:rFonts w:asciiTheme="minorHAnsi" w:eastAsiaTheme="minorHAnsi" w:hAnsiTheme="minorHAnsi" w:cstheme="minorBidi"/>
        </w:rPr>
        <w:t>structured to</w:t>
      </w:r>
      <w:r w:rsidR="00C603B0">
        <w:rPr>
          <w:rFonts w:asciiTheme="minorHAnsi" w:eastAsiaTheme="minorHAnsi" w:hAnsiTheme="minorHAnsi" w:cstheme="minorBidi"/>
        </w:rPr>
        <w:t xml:space="preserve"> </w:t>
      </w:r>
      <w:r w:rsidR="00A51BDA">
        <w:rPr>
          <w:rFonts w:asciiTheme="minorHAnsi" w:eastAsiaTheme="minorHAnsi" w:hAnsiTheme="minorHAnsi" w:cstheme="minorBidi"/>
        </w:rPr>
        <w:t xml:space="preserve">drive fact-based discussions and well-informed </w:t>
      </w:r>
      <w:r w:rsidR="009E691E">
        <w:rPr>
          <w:rFonts w:asciiTheme="minorHAnsi" w:eastAsiaTheme="minorHAnsi" w:hAnsiTheme="minorHAnsi" w:cstheme="minorBidi"/>
        </w:rPr>
        <w:t xml:space="preserve">recommendations </w:t>
      </w:r>
      <w:r w:rsidR="00A51BDA">
        <w:rPr>
          <w:rFonts w:asciiTheme="minorHAnsi" w:eastAsiaTheme="minorHAnsi" w:hAnsiTheme="minorHAnsi" w:cstheme="minorBidi"/>
        </w:rPr>
        <w:t>concerning cost</w:t>
      </w:r>
      <w:r w:rsidR="00C603B0">
        <w:rPr>
          <w:rFonts w:asciiTheme="minorHAnsi" w:eastAsiaTheme="minorHAnsi" w:hAnsiTheme="minorHAnsi" w:cstheme="minorBidi"/>
        </w:rPr>
        <w:t xml:space="preserve">, </w:t>
      </w:r>
      <w:r w:rsidR="00A51BDA">
        <w:rPr>
          <w:rFonts w:asciiTheme="minorHAnsi" w:eastAsiaTheme="minorHAnsi" w:hAnsiTheme="minorHAnsi" w:cstheme="minorBidi"/>
        </w:rPr>
        <w:t>risk</w:t>
      </w:r>
      <w:r w:rsidR="00C603B0">
        <w:rPr>
          <w:rFonts w:asciiTheme="minorHAnsi" w:eastAsiaTheme="minorHAnsi" w:hAnsiTheme="minorHAnsi" w:cstheme="minorBidi"/>
        </w:rPr>
        <w:t xml:space="preserve">, and </w:t>
      </w:r>
      <w:r w:rsidR="00A51BDA">
        <w:rPr>
          <w:rFonts w:asciiTheme="minorHAnsi" w:eastAsiaTheme="minorHAnsi" w:hAnsiTheme="minorHAnsi" w:cstheme="minorBidi"/>
        </w:rPr>
        <w:t>benefit analyses of mineral opportunities</w:t>
      </w:r>
      <w:r w:rsidR="00565C12">
        <w:rPr>
          <w:rFonts w:asciiTheme="minorHAnsi" w:eastAsiaTheme="minorHAnsi" w:hAnsiTheme="minorHAnsi" w:cstheme="minorBidi"/>
        </w:rPr>
        <w:t xml:space="preserve"> in a fresh water-rich state</w:t>
      </w:r>
      <w:r w:rsidR="00A51BDA">
        <w:rPr>
          <w:rFonts w:asciiTheme="minorHAnsi" w:eastAsiaTheme="minorHAnsi" w:hAnsiTheme="minorHAnsi" w:cstheme="minorBidi"/>
        </w:rPr>
        <w:t>.</w:t>
      </w:r>
      <w:r w:rsidR="00A51BDA" w:rsidRPr="00A51BDA">
        <w:rPr>
          <w:rFonts w:asciiTheme="minorHAnsi" w:eastAsiaTheme="minorHAnsi" w:hAnsiTheme="minorHAnsi" w:cstheme="minorBidi"/>
        </w:rPr>
        <w:t xml:space="preserve"> </w:t>
      </w:r>
      <w:r w:rsidR="00A51BDA">
        <w:rPr>
          <w:rFonts w:asciiTheme="minorHAnsi" w:eastAsiaTheme="minorHAnsi" w:hAnsiTheme="minorHAnsi" w:cstheme="minorBidi"/>
        </w:rPr>
        <w:t xml:space="preserve">This work supports our shared goal with LCCMR </w:t>
      </w:r>
      <w:r w:rsidR="00A51BDA" w:rsidRPr="00255537">
        <w:rPr>
          <w:rFonts w:asciiTheme="minorHAnsi" w:eastAsiaTheme="minorHAnsi" w:hAnsiTheme="minorHAnsi" w:cstheme="minorBidi"/>
        </w:rPr>
        <w:t>for the effective maintenance and enhancement of Minnesota's natural resources</w:t>
      </w:r>
      <w:r w:rsidR="00EE40C9">
        <w:rPr>
          <w:rFonts w:asciiTheme="minorHAnsi" w:eastAsiaTheme="minorHAnsi" w:hAnsiTheme="minorHAnsi" w:cstheme="minorBidi"/>
        </w:rPr>
        <w:t xml:space="preserve"> that </w:t>
      </w:r>
      <w:r w:rsidR="00EE40C9" w:rsidRPr="00EE40C9">
        <w:rPr>
          <w:rFonts w:asciiTheme="minorHAnsi" w:eastAsiaTheme="minorHAnsi" w:hAnsiTheme="minorHAnsi" w:cstheme="minorBidi"/>
        </w:rPr>
        <w:t>include citizen and community involvement in scientific efforts</w:t>
      </w:r>
      <w:r w:rsidR="00A51BDA" w:rsidRPr="00255537">
        <w:rPr>
          <w:rFonts w:asciiTheme="minorHAnsi" w:eastAsiaTheme="minorHAnsi" w:hAnsiTheme="minorHAnsi" w:cstheme="minorBidi"/>
        </w:rPr>
        <w:t>.</w:t>
      </w:r>
    </w:p>
    <w:p w14:paraId="194B4CCA" w14:textId="51736ECC" w:rsidR="00A51BDA" w:rsidRDefault="00A51BDA" w:rsidP="001133CD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Why is this </w:t>
      </w:r>
      <w:r w:rsidR="00C91FD7">
        <w:rPr>
          <w:rFonts w:asciiTheme="minorHAnsi" w:eastAsiaTheme="minorHAnsi" w:hAnsiTheme="minorHAnsi" w:cstheme="minorBidi"/>
        </w:rPr>
        <w:t>program</w:t>
      </w:r>
      <w:r w:rsidR="00060F45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important?</w:t>
      </w:r>
      <w:r w:rsidR="00F251B6">
        <w:rPr>
          <w:rFonts w:asciiTheme="minorHAnsi" w:eastAsiaTheme="minorHAnsi" w:hAnsiTheme="minorHAnsi" w:cstheme="minorBidi"/>
        </w:rPr>
        <w:t xml:space="preserve">  Because clean energy objectives and growing societal demands</w:t>
      </w:r>
      <w:r w:rsidR="00060F45">
        <w:rPr>
          <w:rFonts w:asciiTheme="minorHAnsi" w:eastAsiaTheme="minorHAnsi" w:hAnsiTheme="minorHAnsi" w:cstheme="minorBidi"/>
        </w:rPr>
        <w:t xml:space="preserve"> have brought it to the forefront</w:t>
      </w:r>
      <w:r w:rsidR="00F251B6"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</w:rPr>
        <w:t xml:space="preserve"> </w:t>
      </w:r>
      <w:r w:rsidR="00C91FD7">
        <w:rPr>
          <w:rFonts w:asciiTheme="minorHAnsi" w:eastAsiaTheme="minorHAnsi" w:hAnsiTheme="minorHAnsi" w:cstheme="minorBidi"/>
        </w:rPr>
        <w:t xml:space="preserve">The State of Minnesota and major Minnesota </w:t>
      </w:r>
      <w:r w:rsidR="00C603B0">
        <w:rPr>
          <w:rFonts w:asciiTheme="minorHAnsi" w:eastAsiaTheme="minorHAnsi" w:hAnsiTheme="minorHAnsi" w:cstheme="minorBidi"/>
        </w:rPr>
        <w:t>corporations</w:t>
      </w:r>
      <w:r w:rsidR="00C91FD7">
        <w:rPr>
          <w:rFonts w:asciiTheme="minorHAnsi" w:eastAsiaTheme="minorHAnsi" w:hAnsiTheme="minorHAnsi" w:cstheme="minorBidi"/>
        </w:rPr>
        <w:t xml:space="preserve"> like Xcel Energy and 3M share</w:t>
      </w:r>
      <w:r w:rsidR="009F1700">
        <w:rPr>
          <w:rFonts w:asciiTheme="minorHAnsi" w:eastAsiaTheme="minorHAnsi" w:hAnsiTheme="minorHAnsi" w:cstheme="minorBidi"/>
        </w:rPr>
        <w:t xml:space="preserve"> the same</w:t>
      </w:r>
      <w:r w:rsidR="00885DC9">
        <w:rPr>
          <w:rFonts w:asciiTheme="minorHAnsi" w:eastAsiaTheme="minorHAnsi" w:hAnsiTheme="minorHAnsi" w:cstheme="minorBidi"/>
        </w:rPr>
        <w:t xml:space="preserve"> stated</w:t>
      </w:r>
      <w:r w:rsidR="009F1700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 xml:space="preserve">goal of </w:t>
      </w:r>
      <w:r w:rsidR="00885DC9">
        <w:rPr>
          <w:rFonts w:asciiTheme="minorHAnsi" w:eastAsiaTheme="minorHAnsi" w:hAnsiTheme="minorHAnsi" w:cstheme="minorBidi"/>
        </w:rPr>
        <w:t xml:space="preserve">achieving </w:t>
      </w:r>
      <w:r w:rsidR="009F1700">
        <w:rPr>
          <w:rFonts w:asciiTheme="minorHAnsi" w:eastAsiaTheme="minorHAnsi" w:hAnsiTheme="minorHAnsi" w:cstheme="minorBidi"/>
        </w:rPr>
        <w:t>zero-carbon</w:t>
      </w:r>
      <w:r w:rsidR="00C603B0">
        <w:rPr>
          <w:rFonts w:asciiTheme="minorHAnsi" w:eastAsiaTheme="minorHAnsi" w:hAnsiTheme="minorHAnsi" w:cstheme="minorBidi"/>
        </w:rPr>
        <w:t xml:space="preserve">, </w:t>
      </w:r>
      <w:r>
        <w:rPr>
          <w:rFonts w:asciiTheme="minorHAnsi" w:eastAsiaTheme="minorHAnsi" w:hAnsiTheme="minorHAnsi" w:cstheme="minorBidi"/>
        </w:rPr>
        <w:t>clean energy</w:t>
      </w:r>
      <w:r w:rsidR="009F1700">
        <w:rPr>
          <w:rFonts w:asciiTheme="minorHAnsi" w:eastAsiaTheme="minorHAnsi" w:hAnsiTheme="minorHAnsi" w:cstheme="minorBidi"/>
        </w:rPr>
        <w:t xml:space="preserve"> production</w:t>
      </w:r>
      <w:r>
        <w:rPr>
          <w:rFonts w:asciiTheme="minorHAnsi" w:eastAsiaTheme="minorHAnsi" w:hAnsiTheme="minorHAnsi" w:cstheme="minorBidi"/>
        </w:rPr>
        <w:t xml:space="preserve"> by 2050.</w:t>
      </w:r>
      <w:r w:rsidR="00137D60">
        <w:rPr>
          <w:rFonts w:asciiTheme="minorHAnsi" w:eastAsiaTheme="minorHAnsi" w:hAnsiTheme="minorHAnsi" w:cstheme="minorBidi"/>
        </w:rPr>
        <w:t xml:space="preserve">  The clean energy economy will include wind farms, solar arrays, and new energy storage</w:t>
      </w:r>
      <w:r w:rsidR="00C603B0">
        <w:rPr>
          <w:rFonts w:asciiTheme="minorHAnsi" w:eastAsiaTheme="minorHAnsi" w:hAnsiTheme="minorHAnsi" w:cstheme="minorBidi"/>
        </w:rPr>
        <w:t xml:space="preserve"> and </w:t>
      </w:r>
      <w:r w:rsidR="00137D60">
        <w:rPr>
          <w:rFonts w:asciiTheme="minorHAnsi" w:eastAsiaTheme="minorHAnsi" w:hAnsiTheme="minorHAnsi" w:cstheme="minorBidi"/>
        </w:rPr>
        <w:t>distribution alternatives.</w:t>
      </w:r>
      <w:r>
        <w:rPr>
          <w:rFonts w:asciiTheme="minorHAnsi" w:eastAsiaTheme="minorHAnsi" w:hAnsiTheme="minorHAnsi" w:cstheme="minorBidi"/>
        </w:rPr>
        <w:t xml:space="preserve"> </w:t>
      </w:r>
      <w:r w:rsidR="009F1700">
        <w:rPr>
          <w:rFonts w:asciiTheme="minorHAnsi" w:eastAsiaTheme="minorHAnsi" w:hAnsiTheme="minorHAnsi" w:cstheme="minorBidi"/>
        </w:rPr>
        <w:t xml:space="preserve"> To </w:t>
      </w:r>
      <w:r w:rsidR="00137D60">
        <w:rPr>
          <w:rFonts w:asciiTheme="minorHAnsi" w:eastAsiaTheme="minorHAnsi" w:hAnsiTheme="minorHAnsi" w:cstheme="minorBidi"/>
        </w:rPr>
        <w:t>achieve the clean energy</w:t>
      </w:r>
      <w:r w:rsidR="009F1700">
        <w:rPr>
          <w:rFonts w:asciiTheme="minorHAnsi" w:eastAsiaTheme="minorHAnsi" w:hAnsiTheme="minorHAnsi" w:cstheme="minorBidi"/>
        </w:rPr>
        <w:t xml:space="preserve"> goal – based on the state</w:t>
      </w:r>
      <w:r w:rsidR="00330244">
        <w:rPr>
          <w:rFonts w:asciiTheme="minorHAnsi" w:eastAsiaTheme="minorHAnsi" w:hAnsiTheme="minorHAnsi" w:cstheme="minorBidi"/>
        </w:rPr>
        <w:t xml:space="preserve"> </w:t>
      </w:r>
      <w:r w:rsidR="009F1700">
        <w:rPr>
          <w:rFonts w:asciiTheme="minorHAnsi" w:eastAsiaTheme="minorHAnsi" w:hAnsiTheme="minorHAnsi" w:cstheme="minorBidi"/>
        </w:rPr>
        <w:t xml:space="preserve">of </w:t>
      </w:r>
      <w:r>
        <w:rPr>
          <w:rFonts w:asciiTheme="minorHAnsi" w:eastAsiaTheme="minorHAnsi" w:hAnsiTheme="minorHAnsi" w:cstheme="minorBidi"/>
        </w:rPr>
        <w:t xml:space="preserve">today’s </w:t>
      </w:r>
      <w:r w:rsidR="009F1700">
        <w:rPr>
          <w:rFonts w:asciiTheme="minorHAnsi" w:eastAsiaTheme="minorHAnsi" w:hAnsiTheme="minorHAnsi" w:cstheme="minorBidi"/>
        </w:rPr>
        <w:t>renewable</w:t>
      </w:r>
      <w:r w:rsidR="00330244">
        <w:rPr>
          <w:rFonts w:asciiTheme="minorHAnsi" w:eastAsiaTheme="minorHAnsi" w:hAnsiTheme="minorHAnsi" w:cstheme="minorBidi"/>
        </w:rPr>
        <w:t xml:space="preserve"> </w:t>
      </w:r>
      <w:r w:rsidR="009F1700">
        <w:rPr>
          <w:rFonts w:asciiTheme="minorHAnsi" w:eastAsiaTheme="minorHAnsi" w:hAnsiTheme="minorHAnsi" w:cstheme="minorBidi"/>
        </w:rPr>
        <w:t xml:space="preserve">clean energy </w:t>
      </w:r>
      <w:r>
        <w:rPr>
          <w:rFonts w:asciiTheme="minorHAnsi" w:eastAsiaTheme="minorHAnsi" w:hAnsiTheme="minorHAnsi" w:cstheme="minorBidi"/>
        </w:rPr>
        <w:t>tech</w:t>
      </w:r>
      <w:r w:rsidR="00F251B6">
        <w:rPr>
          <w:rFonts w:asciiTheme="minorHAnsi" w:eastAsiaTheme="minorHAnsi" w:hAnsiTheme="minorHAnsi" w:cstheme="minorBidi"/>
        </w:rPr>
        <w:t>nologies and manufacturing capabilities</w:t>
      </w:r>
      <w:r w:rsidR="009F1700">
        <w:rPr>
          <w:rFonts w:asciiTheme="minorHAnsi" w:eastAsiaTheme="minorHAnsi" w:hAnsiTheme="minorHAnsi" w:cstheme="minorBidi"/>
        </w:rPr>
        <w:t xml:space="preserve"> – </w:t>
      </w:r>
      <w:r w:rsidR="00060F45">
        <w:rPr>
          <w:rFonts w:asciiTheme="minorHAnsi" w:eastAsiaTheme="minorHAnsi" w:hAnsiTheme="minorHAnsi" w:cstheme="minorBidi"/>
        </w:rPr>
        <w:t>some</w:t>
      </w:r>
      <w:r w:rsidR="00060F45" w:rsidRPr="009F1700">
        <w:rPr>
          <w:rFonts w:asciiTheme="minorHAnsi" w:eastAsiaTheme="minorHAnsi" w:hAnsiTheme="minorHAnsi" w:cstheme="minorBidi"/>
        </w:rPr>
        <w:t xml:space="preserve"> estimat</w:t>
      </w:r>
      <w:r w:rsidR="00060F45">
        <w:rPr>
          <w:rFonts w:asciiTheme="minorHAnsi" w:eastAsiaTheme="minorHAnsi" w:hAnsiTheme="minorHAnsi" w:cstheme="minorBidi"/>
        </w:rPr>
        <w:t>es</w:t>
      </w:r>
      <w:r w:rsidR="009F1700" w:rsidRPr="009F1700">
        <w:rPr>
          <w:rFonts w:asciiTheme="minorHAnsi" w:eastAsiaTheme="minorHAnsi" w:hAnsiTheme="minorHAnsi" w:cstheme="minorBidi"/>
        </w:rPr>
        <w:t xml:space="preserve"> </w:t>
      </w:r>
      <w:r w:rsidR="009F1700">
        <w:rPr>
          <w:rFonts w:asciiTheme="minorHAnsi" w:eastAsiaTheme="minorHAnsi" w:hAnsiTheme="minorHAnsi" w:cstheme="minorBidi"/>
        </w:rPr>
        <w:t xml:space="preserve">suggest </w:t>
      </w:r>
      <w:r w:rsidR="009F1700" w:rsidRPr="009F1700">
        <w:rPr>
          <w:rFonts w:asciiTheme="minorHAnsi" w:eastAsiaTheme="minorHAnsi" w:hAnsiTheme="minorHAnsi" w:cstheme="minorBidi"/>
        </w:rPr>
        <w:t xml:space="preserve">more metals will have to be </w:t>
      </w:r>
      <w:r w:rsidR="00810B50">
        <w:rPr>
          <w:rFonts w:asciiTheme="minorHAnsi" w:eastAsiaTheme="minorHAnsi" w:hAnsiTheme="minorHAnsi" w:cstheme="minorBidi"/>
        </w:rPr>
        <w:t xml:space="preserve">supplied </w:t>
      </w:r>
      <w:r w:rsidR="009F1700" w:rsidRPr="009F1700">
        <w:rPr>
          <w:rFonts w:asciiTheme="minorHAnsi" w:eastAsiaTheme="minorHAnsi" w:hAnsiTheme="minorHAnsi" w:cstheme="minorBidi"/>
        </w:rPr>
        <w:t xml:space="preserve">in the next 30 years than have been </w:t>
      </w:r>
      <w:r w:rsidR="00810B50">
        <w:rPr>
          <w:rFonts w:asciiTheme="minorHAnsi" w:eastAsiaTheme="minorHAnsi" w:hAnsiTheme="minorHAnsi" w:cstheme="minorBidi"/>
        </w:rPr>
        <w:t>supplied</w:t>
      </w:r>
      <w:r w:rsidR="00810B50" w:rsidRPr="009F1700">
        <w:rPr>
          <w:rFonts w:asciiTheme="minorHAnsi" w:eastAsiaTheme="minorHAnsi" w:hAnsiTheme="minorHAnsi" w:cstheme="minorBidi"/>
        </w:rPr>
        <w:t xml:space="preserve"> </w:t>
      </w:r>
      <w:r w:rsidR="009F1700" w:rsidRPr="009F1700">
        <w:rPr>
          <w:rFonts w:asciiTheme="minorHAnsi" w:eastAsiaTheme="minorHAnsi" w:hAnsiTheme="minorHAnsi" w:cstheme="minorBidi"/>
        </w:rPr>
        <w:t>in the last 100</w:t>
      </w:r>
      <w:r w:rsidR="009F1700">
        <w:rPr>
          <w:rFonts w:asciiTheme="minorHAnsi" w:eastAsiaTheme="minorHAnsi" w:hAnsiTheme="minorHAnsi" w:cstheme="minorBidi"/>
        </w:rPr>
        <w:t xml:space="preserve">. </w:t>
      </w:r>
      <w:r w:rsidR="00060F45">
        <w:rPr>
          <w:rFonts w:asciiTheme="minorHAnsi" w:eastAsiaTheme="minorHAnsi" w:hAnsiTheme="minorHAnsi" w:cstheme="minorBidi"/>
        </w:rPr>
        <w:t xml:space="preserve">Growing standards of living and lifestyle changes are also driving increasing world-wide demand for metals, and metal availability is </w:t>
      </w:r>
      <w:r w:rsidR="00137D60">
        <w:rPr>
          <w:rFonts w:asciiTheme="minorHAnsi" w:eastAsiaTheme="minorHAnsi" w:hAnsiTheme="minorHAnsi" w:cstheme="minorBidi"/>
        </w:rPr>
        <w:t>necessary for</w:t>
      </w:r>
      <w:r w:rsidR="00060F45">
        <w:rPr>
          <w:rFonts w:asciiTheme="minorHAnsi" w:eastAsiaTheme="minorHAnsi" w:hAnsiTheme="minorHAnsi" w:cstheme="minorBidi"/>
        </w:rPr>
        <w:t xml:space="preserve"> economically supporting both. </w:t>
      </w:r>
      <w:r w:rsidR="009F1700">
        <w:rPr>
          <w:rFonts w:asciiTheme="minorHAnsi" w:eastAsiaTheme="minorHAnsi" w:hAnsiTheme="minorHAnsi" w:cstheme="minorBidi"/>
        </w:rPr>
        <w:t>This means we</w:t>
      </w:r>
      <w:r w:rsidR="00137D60">
        <w:rPr>
          <w:rFonts w:asciiTheme="minorHAnsi" w:eastAsiaTheme="minorHAnsi" w:hAnsiTheme="minorHAnsi" w:cstheme="minorBidi"/>
        </w:rPr>
        <w:t xml:space="preserve"> will </w:t>
      </w:r>
      <w:r>
        <w:rPr>
          <w:rFonts w:asciiTheme="minorHAnsi" w:eastAsiaTheme="minorHAnsi" w:hAnsiTheme="minorHAnsi" w:cstheme="minorBidi"/>
        </w:rPr>
        <w:t xml:space="preserve">need to be prepared to respond to </w:t>
      </w:r>
      <w:r w:rsidR="00060F45">
        <w:rPr>
          <w:rFonts w:asciiTheme="minorHAnsi" w:eastAsiaTheme="minorHAnsi" w:hAnsiTheme="minorHAnsi" w:cstheme="minorBidi"/>
        </w:rPr>
        <w:t>that rising</w:t>
      </w:r>
      <w:r w:rsidR="00F251B6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demand in responsible</w:t>
      </w:r>
      <w:r w:rsidR="00137D60">
        <w:rPr>
          <w:rFonts w:asciiTheme="minorHAnsi" w:eastAsiaTheme="minorHAnsi" w:hAnsiTheme="minorHAnsi" w:cstheme="minorBidi"/>
        </w:rPr>
        <w:t xml:space="preserve"> and sustainable</w:t>
      </w:r>
      <w:r>
        <w:rPr>
          <w:rFonts w:asciiTheme="minorHAnsi" w:eastAsiaTheme="minorHAnsi" w:hAnsiTheme="minorHAnsi" w:cstheme="minorBidi"/>
        </w:rPr>
        <w:t xml:space="preserve"> way</w:t>
      </w:r>
      <w:r w:rsidR="00060F45">
        <w:rPr>
          <w:rFonts w:asciiTheme="minorHAnsi" w:eastAsiaTheme="minorHAnsi" w:hAnsiTheme="minorHAnsi" w:cstheme="minorBidi"/>
        </w:rPr>
        <w:t>s</w:t>
      </w:r>
      <w:r>
        <w:rPr>
          <w:rFonts w:asciiTheme="minorHAnsi" w:eastAsiaTheme="minorHAnsi" w:hAnsiTheme="minorHAnsi" w:cstheme="minorBidi"/>
        </w:rPr>
        <w:t xml:space="preserve">. </w:t>
      </w:r>
    </w:p>
    <w:p w14:paraId="0E7DD7A0" w14:textId="6869585B" w:rsidR="00A90616" w:rsidRDefault="00A90616" w:rsidP="00A90616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So</w:t>
      </w:r>
      <w:r w:rsidR="004379B1">
        <w:rPr>
          <w:rFonts w:asciiTheme="minorHAnsi" w:eastAsiaTheme="minorHAnsi" w:hAnsiTheme="minorHAnsi" w:cstheme="minorBidi"/>
        </w:rPr>
        <w:t>,</w:t>
      </w:r>
      <w:r>
        <w:rPr>
          <w:rFonts w:asciiTheme="minorHAnsi" w:eastAsiaTheme="minorHAnsi" w:hAnsiTheme="minorHAnsi" w:cstheme="minorBidi"/>
        </w:rPr>
        <w:t xml:space="preserve"> what now?  Most of the mineral resources </w:t>
      </w:r>
      <w:r w:rsidR="004379B1">
        <w:rPr>
          <w:rFonts w:asciiTheme="minorHAnsi" w:eastAsiaTheme="minorHAnsi" w:hAnsiTheme="minorHAnsi" w:cstheme="minorBidi"/>
        </w:rPr>
        <w:t xml:space="preserve">sought </w:t>
      </w:r>
      <w:r>
        <w:rPr>
          <w:rFonts w:asciiTheme="minorHAnsi" w:eastAsiaTheme="minorHAnsi" w:hAnsiTheme="minorHAnsi" w:cstheme="minorBidi"/>
        </w:rPr>
        <w:t>to satisfy the increased metal demand, in part driven by new energy technologies, cannot be provided by recycling alone. They will come</w:t>
      </w:r>
      <w:r w:rsidR="006D42EE">
        <w:rPr>
          <w:rFonts w:asciiTheme="minorHAnsi" w:eastAsiaTheme="minorHAnsi" w:hAnsiTheme="minorHAnsi" w:cstheme="minorBidi"/>
        </w:rPr>
        <w:t xml:space="preserve"> instead</w:t>
      </w:r>
      <w:r>
        <w:rPr>
          <w:rFonts w:asciiTheme="minorHAnsi" w:eastAsiaTheme="minorHAnsi" w:hAnsiTheme="minorHAnsi" w:cstheme="minorBidi"/>
        </w:rPr>
        <w:t xml:space="preserve"> from larger, lower-grade, and deeper mineral deposits simply because most of the higher-grade and easier-to-access deposits have largely been discovered, put into production, or exhausted. </w:t>
      </w:r>
    </w:p>
    <w:p w14:paraId="0CC5D736" w14:textId="37C2AF08" w:rsidR="00BE5698" w:rsidRDefault="0008551A" w:rsidP="001133CD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It is a given that </w:t>
      </w:r>
      <w:r w:rsidR="009E691E">
        <w:rPr>
          <w:rFonts w:asciiTheme="minorHAnsi" w:eastAsiaTheme="minorHAnsi" w:hAnsiTheme="minorHAnsi" w:cstheme="minorBidi"/>
        </w:rPr>
        <w:t xml:space="preserve">pursuit of mineral </w:t>
      </w:r>
      <w:r>
        <w:rPr>
          <w:rFonts w:asciiTheme="minorHAnsi" w:eastAsiaTheme="minorHAnsi" w:hAnsiTheme="minorHAnsi" w:cstheme="minorBidi"/>
        </w:rPr>
        <w:t>o</w:t>
      </w:r>
      <w:r w:rsidR="0091128B">
        <w:rPr>
          <w:rFonts w:asciiTheme="minorHAnsi" w:eastAsiaTheme="minorHAnsi" w:hAnsiTheme="minorHAnsi" w:cstheme="minorBidi"/>
        </w:rPr>
        <w:t>pportun</w:t>
      </w:r>
      <w:r w:rsidR="009E691E">
        <w:rPr>
          <w:rFonts w:asciiTheme="minorHAnsi" w:eastAsiaTheme="minorHAnsi" w:hAnsiTheme="minorHAnsi" w:cstheme="minorBidi"/>
        </w:rPr>
        <w:t>ities</w:t>
      </w:r>
      <w:r w:rsidR="0091128B">
        <w:rPr>
          <w:rFonts w:asciiTheme="minorHAnsi" w:eastAsiaTheme="minorHAnsi" w:hAnsiTheme="minorHAnsi" w:cstheme="minorBidi"/>
        </w:rPr>
        <w:t xml:space="preserve"> must protect </w:t>
      </w:r>
      <w:r w:rsidR="00BE5698">
        <w:rPr>
          <w:rFonts w:asciiTheme="minorHAnsi" w:eastAsiaTheme="minorHAnsi" w:hAnsiTheme="minorHAnsi" w:cstheme="minorBidi"/>
        </w:rPr>
        <w:t>water resources.</w:t>
      </w:r>
      <w:r w:rsidR="0091128B">
        <w:rPr>
          <w:rFonts w:asciiTheme="minorHAnsi" w:eastAsiaTheme="minorHAnsi" w:hAnsiTheme="minorHAnsi" w:cstheme="minorBidi"/>
        </w:rPr>
        <w:t xml:space="preserve"> </w:t>
      </w:r>
      <w:r w:rsidR="007B63AA">
        <w:rPr>
          <w:rFonts w:asciiTheme="minorHAnsi" w:eastAsiaTheme="minorHAnsi" w:hAnsiTheme="minorHAnsi" w:cstheme="minorBidi"/>
        </w:rPr>
        <w:t>Mineral resource development has had a chequered track-record, and d</w:t>
      </w:r>
      <w:r w:rsidR="007B63AA" w:rsidRPr="00336762">
        <w:rPr>
          <w:rFonts w:asciiTheme="minorHAnsi" w:eastAsiaTheme="minorHAnsi" w:hAnsiTheme="minorHAnsi" w:cstheme="minorBidi"/>
        </w:rPr>
        <w:t>evelopment of those resources</w:t>
      </w:r>
      <w:r w:rsidR="007B63AA">
        <w:rPr>
          <w:rFonts w:asciiTheme="minorHAnsi" w:eastAsiaTheme="minorHAnsi" w:hAnsiTheme="minorHAnsi" w:cstheme="minorBidi"/>
        </w:rPr>
        <w:t xml:space="preserve"> can</w:t>
      </w:r>
      <w:r w:rsidR="007B63AA" w:rsidRPr="00336762">
        <w:rPr>
          <w:rFonts w:asciiTheme="minorHAnsi" w:eastAsiaTheme="minorHAnsi" w:hAnsiTheme="minorHAnsi" w:cstheme="minorBidi"/>
        </w:rPr>
        <w:t xml:space="preserve"> lead to complex interrelationships that have both environmental and economic consequences.</w:t>
      </w:r>
      <w:r w:rsidR="007B63AA">
        <w:rPr>
          <w:rFonts w:asciiTheme="minorHAnsi" w:eastAsiaTheme="minorHAnsi" w:hAnsiTheme="minorHAnsi" w:cstheme="minorBidi"/>
        </w:rPr>
        <w:t xml:space="preserve"> </w:t>
      </w:r>
      <w:r w:rsidR="0091128B">
        <w:rPr>
          <w:rFonts w:asciiTheme="minorHAnsi" w:eastAsiaTheme="minorHAnsi" w:hAnsiTheme="minorHAnsi" w:cstheme="minorBidi"/>
        </w:rPr>
        <w:t>We have a mineral opportunity</w:t>
      </w:r>
      <w:r w:rsidR="00A90616">
        <w:rPr>
          <w:rFonts w:asciiTheme="minorHAnsi" w:eastAsiaTheme="minorHAnsi" w:hAnsiTheme="minorHAnsi" w:cstheme="minorBidi"/>
        </w:rPr>
        <w:t xml:space="preserve"> in the state of Minnesota</w:t>
      </w:r>
      <w:r w:rsidR="0091128B">
        <w:rPr>
          <w:rFonts w:asciiTheme="minorHAnsi" w:eastAsiaTheme="minorHAnsi" w:hAnsiTheme="minorHAnsi" w:cstheme="minorBidi"/>
        </w:rPr>
        <w:t xml:space="preserve"> to start with good info and make better decisions</w:t>
      </w:r>
      <w:r w:rsidR="00A90616">
        <w:rPr>
          <w:rFonts w:asciiTheme="minorHAnsi" w:eastAsiaTheme="minorHAnsi" w:hAnsiTheme="minorHAnsi" w:cstheme="minorBidi"/>
        </w:rPr>
        <w:t xml:space="preserve"> that drive</w:t>
      </w:r>
      <w:r w:rsidR="00330244">
        <w:rPr>
          <w:rFonts w:asciiTheme="minorHAnsi" w:eastAsiaTheme="minorHAnsi" w:hAnsiTheme="minorHAnsi" w:cstheme="minorBidi"/>
        </w:rPr>
        <w:t xml:space="preserve"> </w:t>
      </w:r>
      <w:r w:rsidR="00A90616">
        <w:rPr>
          <w:rFonts w:asciiTheme="minorHAnsi" w:eastAsiaTheme="minorHAnsi" w:hAnsiTheme="minorHAnsi" w:cstheme="minorBidi"/>
        </w:rPr>
        <w:t>s</w:t>
      </w:r>
      <w:r w:rsidR="0091128B">
        <w:rPr>
          <w:rFonts w:asciiTheme="minorHAnsi" w:eastAsiaTheme="minorHAnsi" w:hAnsiTheme="minorHAnsi" w:cstheme="minorBidi"/>
        </w:rPr>
        <w:t>ustainability</w:t>
      </w:r>
      <w:r w:rsidR="00A90616">
        <w:rPr>
          <w:rFonts w:asciiTheme="minorHAnsi" w:eastAsiaTheme="minorHAnsi" w:hAnsiTheme="minorHAnsi" w:cstheme="minorBidi"/>
        </w:rPr>
        <w:t xml:space="preserve"> and resiliency of our resources, society, and economy.</w:t>
      </w:r>
      <w:r w:rsidR="0091128B">
        <w:rPr>
          <w:rFonts w:asciiTheme="minorHAnsi" w:eastAsiaTheme="minorHAnsi" w:hAnsiTheme="minorHAnsi" w:cstheme="minorBidi"/>
        </w:rPr>
        <w:t xml:space="preserve"> </w:t>
      </w:r>
    </w:p>
    <w:p w14:paraId="5F11C78F" w14:textId="42C1A8D0" w:rsidR="009E691E" w:rsidRDefault="007C3AD6" w:rsidP="004756F2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</w:rPr>
        <w:t>This proposal seeks</w:t>
      </w:r>
      <w:r w:rsidR="00CC1C7E" w:rsidRPr="00094804">
        <w:rPr>
          <w:rFonts w:asciiTheme="minorHAnsi" w:eastAsiaTheme="minorHAnsi" w:hAnsiTheme="minorHAnsi" w:cstheme="minorBidi"/>
          <w:b/>
        </w:rPr>
        <w:t xml:space="preserve"> LCCMR fun</w:t>
      </w:r>
      <w:r w:rsidR="004756F2">
        <w:rPr>
          <w:rFonts w:asciiTheme="minorHAnsi" w:eastAsiaTheme="minorHAnsi" w:hAnsiTheme="minorHAnsi" w:cstheme="minorBidi"/>
          <w:b/>
        </w:rPr>
        <w:t>ding to develop and implement a pilot</w:t>
      </w:r>
      <w:r w:rsidR="00CC1C7E" w:rsidRPr="00094804">
        <w:rPr>
          <w:rFonts w:asciiTheme="minorHAnsi" w:eastAsiaTheme="minorHAnsi" w:hAnsiTheme="minorHAnsi" w:cstheme="minorBidi"/>
          <w:b/>
        </w:rPr>
        <w:t xml:space="preserve"> outreach program focused on </w:t>
      </w:r>
      <w:r w:rsidR="004756F2">
        <w:rPr>
          <w:rFonts w:asciiTheme="minorHAnsi" w:eastAsiaTheme="minorHAnsi" w:hAnsiTheme="minorHAnsi" w:cstheme="minorBidi"/>
          <w:b/>
        </w:rPr>
        <w:t>providing understanding of the complex interrelationships between Minnesota’s</w:t>
      </w:r>
      <w:r w:rsidR="00907F70">
        <w:rPr>
          <w:rFonts w:asciiTheme="minorHAnsi" w:eastAsiaTheme="minorHAnsi" w:hAnsiTheme="minorHAnsi" w:cstheme="minorBidi"/>
          <w:b/>
        </w:rPr>
        <w:t xml:space="preserve"> </w:t>
      </w:r>
      <w:r w:rsidR="00CC1C7E" w:rsidRPr="00094804">
        <w:rPr>
          <w:rFonts w:asciiTheme="minorHAnsi" w:eastAsiaTheme="minorHAnsi" w:hAnsiTheme="minorHAnsi" w:cstheme="minorBidi"/>
          <w:b/>
        </w:rPr>
        <w:t>water and mineral resource</w:t>
      </w:r>
      <w:r w:rsidR="004756F2">
        <w:rPr>
          <w:rFonts w:asciiTheme="minorHAnsi" w:eastAsiaTheme="minorHAnsi" w:hAnsiTheme="minorHAnsi" w:cstheme="minorBidi"/>
          <w:b/>
        </w:rPr>
        <w:t>s</w:t>
      </w:r>
      <w:r w:rsidR="00CC1C7E" w:rsidRPr="00094804">
        <w:rPr>
          <w:rFonts w:asciiTheme="minorHAnsi" w:eastAsiaTheme="minorHAnsi" w:hAnsiTheme="minorHAnsi" w:cstheme="minorBidi"/>
          <w:b/>
        </w:rPr>
        <w:t xml:space="preserve"> that will empower Minnesotans </w:t>
      </w:r>
      <w:r w:rsidR="004756F2">
        <w:rPr>
          <w:rFonts w:asciiTheme="minorHAnsi" w:eastAsiaTheme="minorHAnsi" w:hAnsiTheme="minorHAnsi" w:cstheme="minorBidi"/>
          <w:b/>
        </w:rPr>
        <w:t xml:space="preserve">to hold well-informed discussions and reach </w:t>
      </w:r>
      <w:r w:rsidR="009E691E">
        <w:rPr>
          <w:rFonts w:asciiTheme="minorHAnsi" w:eastAsiaTheme="minorHAnsi" w:hAnsiTheme="minorHAnsi" w:cstheme="minorBidi"/>
          <w:b/>
        </w:rPr>
        <w:t xml:space="preserve">recommendations for </w:t>
      </w:r>
      <w:r w:rsidR="004756F2">
        <w:rPr>
          <w:rFonts w:asciiTheme="minorHAnsi" w:eastAsiaTheme="minorHAnsi" w:hAnsiTheme="minorHAnsi" w:cstheme="minorBidi"/>
          <w:b/>
        </w:rPr>
        <w:t>sound, long-term decisions. The pilot will be carried out in three representative communities across Minnesota. The program will use local steering committees</w:t>
      </w:r>
      <w:r w:rsidR="00EE40C9">
        <w:rPr>
          <w:rFonts w:asciiTheme="minorHAnsi" w:eastAsiaTheme="minorHAnsi" w:hAnsiTheme="minorHAnsi" w:cstheme="minorBidi"/>
          <w:b/>
        </w:rPr>
        <w:t xml:space="preserve"> to help guide this program</w:t>
      </w:r>
      <w:r w:rsidR="004756F2">
        <w:rPr>
          <w:rFonts w:asciiTheme="minorHAnsi" w:eastAsiaTheme="minorHAnsi" w:hAnsiTheme="minorHAnsi" w:cstheme="minorBidi"/>
          <w:b/>
        </w:rPr>
        <w:t>.</w:t>
      </w:r>
      <w:r w:rsidR="004756F2" w:rsidRPr="004756F2">
        <w:rPr>
          <w:rFonts w:asciiTheme="minorHAnsi" w:eastAsiaTheme="minorHAnsi" w:hAnsiTheme="minorHAnsi" w:cstheme="minorBidi"/>
        </w:rPr>
        <w:t xml:space="preserve"> </w:t>
      </w:r>
      <w:r w:rsidR="009E691E">
        <w:rPr>
          <w:rFonts w:asciiTheme="minorHAnsi" w:eastAsiaTheme="minorHAnsi" w:hAnsiTheme="minorHAnsi" w:cstheme="minorBidi"/>
        </w:rPr>
        <w:t>Citizen input and reaction will be gathered</w:t>
      </w:r>
      <w:r w:rsidR="004756F2">
        <w:rPr>
          <w:rFonts w:asciiTheme="minorHAnsi" w:eastAsiaTheme="minorHAnsi" w:hAnsiTheme="minorHAnsi" w:cstheme="minorBidi"/>
        </w:rPr>
        <w:t xml:space="preserve"> throughout the program to determine baseline scientific understanding of these complex issues</w:t>
      </w:r>
      <w:r w:rsidR="004756F2" w:rsidRPr="004756F2">
        <w:rPr>
          <w:rFonts w:asciiTheme="minorHAnsi" w:eastAsiaTheme="minorHAnsi" w:hAnsiTheme="minorHAnsi" w:cstheme="minorBidi"/>
        </w:rPr>
        <w:t xml:space="preserve"> </w:t>
      </w:r>
      <w:r w:rsidR="004756F2">
        <w:rPr>
          <w:rFonts w:asciiTheme="minorHAnsi" w:eastAsiaTheme="minorHAnsi" w:hAnsiTheme="minorHAnsi" w:cstheme="minorBidi"/>
        </w:rPr>
        <w:t xml:space="preserve">and gained knowledge as a result of program participation. </w:t>
      </w:r>
    </w:p>
    <w:p w14:paraId="1CDDDAEA" w14:textId="0B23FC68" w:rsidR="004756F2" w:rsidRDefault="00E94A58" w:rsidP="004756F2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The Natural Resources Research Institute and Minnesota Sea Grant</w:t>
      </w:r>
      <w:r>
        <w:t xml:space="preserve"> – two</w:t>
      </w:r>
      <w:r>
        <w:rPr>
          <w:rFonts w:asciiTheme="minorHAnsi" w:eastAsiaTheme="minorHAnsi" w:hAnsiTheme="minorHAnsi" w:cstheme="minorBidi"/>
        </w:rPr>
        <w:t xml:space="preserve"> of the University of Minnesota’s applied research institutes</w:t>
      </w:r>
      <w:r>
        <w:t xml:space="preserve"> – </w:t>
      </w:r>
      <w:r>
        <w:rPr>
          <w:rFonts w:asciiTheme="minorHAnsi" w:eastAsiaTheme="minorHAnsi" w:hAnsiTheme="minorHAnsi" w:cstheme="minorBidi"/>
        </w:rPr>
        <w:t xml:space="preserve">will </w:t>
      </w:r>
      <w:r>
        <w:t>combine and make best use of their respective areas of expertise and deliver a</w:t>
      </w:r>
      <w:r>
        <w:rPr>
          <w:rFonts w:asciiTheme="minorHAnsi" w:eastAsiaTheme="minorHAnsi" w:hAnsiTheme="minorHAnsi" w:cstheme="minorBidi"/>
        </w:rPr>
        <w:t xml:space="preserve"> comprehensive</w:t>
      </w:r>
      <w:r>
        <w:t xml:space="preserve"> and</w:t>
      </w:r>
      <w:r>
        <w:rPr>
          <w:rFonts w:asciiTheme="minorHAnsi" w:eastAsiaTheme="minorHAnsi" w:hAnsiTheme="minorHAnsi" w:cstheme="minorBidi"/>
        </w:rPr>
        <w:t xml:space="preserve"> multidisciplinary </w:t>
      </w:r>
      <w:r>
        <w:t xml:space="preserve">educational outreach </w:t>
      </w:r>
      <w:r>
        <w:rPr>
          <w:rFonts w:asciiTheme="minorHAnsi" w:eastAsiaTheme="minorHAnsi" w:hAnsiTheme="minorHAnsi" w:cstheme="minorBidi"/>
        </w:rPr>
        <w:t xml:space="preserve">service </w:t>
      </w:r>
      <w:r>
        <w:t xml:space="preserve">to </w:t>
      </w:r>
      <w:r>
        <w:rPr>
          <w:rFonts w:asciiTheme="minorHAnsi" w:eastAsiaTheme="minorHAnsi" w:hAnsiTheme="minorHAnsi" w:cstheme="minorBidi"/>
        </w:rPr>
        <w:t xml:space="preserve">Minnesota citizens from </w:t>
      </w:r>
      <w:r>
        <w:t>a non-</w:t>
      </w:r>
      <w:r>
        <w:rPr>
          <w:rFonts w:asciiTheme="minorHAnsi" w:eastAsiaTheme="minorHAnsi" w:hAnsiTheme="minorHAnsi" w:cstheme="minorBidi"/>
        </w:rPr>
        <w:t>advocacy perspective.</w:t>
      </w:r>
      <w:r w:rsidR="009E691E">
        <w:rPr>
          <w:rFonts w:asciiTheme="minorHAnsi" w:eastAsiaTheme="minorHAnsi" w:hAnsiTheme="minorHAnsi" w:cstheme="minorBidi"/>
        </w:rPr>
        <w:t xml:space="preserve"> </w:t>
      </w:r>
    </w:p>
    <w:p w14:paraId="2C48B18E" w14:textId="77777777" w:rsidR="006E0EFD" w:rsidRPr="009D6EC8" w:rsidRDefault="006E0EFD" w:rsidP="00A46C21">
      <w:pPr>
        <w:spacing w:after="120"/>
        <w:outlineLvl w:val="0"/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818" w:type="dxa"/>
        <w:tblLook w:val="04A0" w:firstRow="1" w:lastRow="0" w:firstColumn="1" w:lastColumn="0" w:noHBand="0" w:noVBand="1"/>
      </w:tblPr>
      <w:tblGrid>
        <w:gridCol w:w="7040"/>
        <w:gridCol w:w="1647"/>
        <w:gridCol w:w="1550"/>
        <w:gridCol w:w="311"/>
        <w:gridCol w:w="270"/>
      </w:tblGrid>
      <w:tr w:rsidR="00686B53" w:rsidRPr="00EB5831" w14:paraId="455B7554" w14:textId="77777777" w:rsidTr="007E394E">
        <w:tc>
          <w:tcPr>
            <w:tcW w:w="10548" w:type="dxa"/>
            <w:gridSpan w:val="4"/>
          </w:tcPr>
          <w:p w14:paraId="7BD06FC5" w14:textId="77777777" w:rsidR="00686B53" w:rsidRPr="003A3B53" w:rsidRDefault="007040EA" w:rsidP="00183428">
            <w:pPr>
              <w:widowControl w:val="0"/>
              <w:spacing w:after="60"/>
              <w:ind w:right="25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1</w:t>
            </w:r>
            <w:r w:rsidR="009C4A96" w:rsidRPr="009C4A96">
              <w:rPr>
                <w:rFonts w:cs="Arial"/>
                <w:b/>
              </w:rPr>
              <w:t xml:space="preserve">:  </w:t>
            </w:r>
            <w:r>
              <w:rPr>
                <w:rFonts w:cs="Arial"/>
                <w:b/>
              </w:rPr>
              <w:t>Formation of community steering committees to inform program content</w:t>
            </w:r>
          </w:p>
          <w:p w14:paraId="065CDAF2" w14:textId="6109306F" w:rsidR="007040EA" w:rsidRDefault="007040EA" w:rsidP="00183428">
            <w:pPr>
              <w:autoSpaceDE w:val="0"/>
              <w:autoSpaceDN w:val="0"/>
              <w:adjustRightInd w:val="0"/>
              <w:spacing w:after="120"/>
              <w:ind w:right="252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Three </w:t>
            </w:r>
            <w:r w:rsidR="00885DC9">
              <w:rPr>
                <w:rFonts w:cs="Arial"/>
                <w:bCs/>
                <w:color w:val="000000"/>
              </w:rPr>
              <w:t xml:space="preserve">Minnesota </w:t>
            </w:r>
            <w:r>
              <w:rPr>
                <w:rFonts w:cs="Arial"/>
                <w:bCs/>
                <w:color w:val="000000"/>
              </w:rPr>
              <w:t xml:space="preserve">communities will be selected for the pilot study (potential examples – </w:t>
            </w:r>
            <w:r w:rsidR="00CB3C47">
              <w:rPr>
                <w:rFonts w:cs="Arial"/>
                <w:bCs/>
                <w:color w:val="000000"/>
              </w:rPr>
              <w:t>northeast Minnesota</w:t>
            </w:r>
            <w:r w:rsidR="00810B50">
              <w:rPr>
                <w:rFonts w:cs="Arial"/>
                <w:bCs/>
                <w:color w:val="000000"/>
              </w:rPr>
              <w:t>, St. Cloud, and Rochester</w:t>
            </w:r>
            <w:r>
              <w:rPr>
                <w:rFonts w:cs="Arial"/>
                <w:bCs/>
                <w:color w:val="000000"/>
              </w:rPr>
              <w:t>) with the intent to develop similar efforts statewide based on the experiences and lessons learned from the pilot. The University team (led by Zanko, McFarland, and Hagley) will form</w:t>
            </w:r>
            <w:r w:rsidR="00604C79">
              <w:rPr>
                <w:rFonts w:cs="Arial"/>
                <w:bCs/>
                <w:color w:val="000000"/>
              </w:rPr>
              <w:t xml:space="preserve"> diverse</w:t>
            </w:r>
            <w:r w:rsidR="00E430C1">
              <w:rPr>
                <w:rFonts w:cs="Arial"/>
                <w:bCs/>
                <w:color w:val="000000"/>
              </w:rPr>
              <w:t xml:space="preserve"> </w:t>
            </w:r>
            <w:r w:rsidR="00885DC9">
              <w:rPr>
                <w:rFonts w:cs="Arial"/>
                <w:bCs/>
                <w:color w:val="000000"/>
              </w:rPr>
              <w:t>multidisciplinary</w:t>
            </w:r>
            <w:r>
              <w:rPr>
                <w:rFonts w:cs="Arial"/>
                <w:bCs/>
                <w:color w:val="000000"/>
              </w:rPr>
              <w:t xml:space="preserve"> steering committees comprised of </w:t>
            </w:r>
            <w:r w:rsidR="00604C79">
              <w:rPr>
                <w:rFonts w:cs="Arial"/>
                <w:bCs/>
                <w:color w:val="000000"/>
              </w:rPr>
              <w:t xml:space="preserve">10-12 community members that represent multiple facets of </w:t>
            </w:r>
            <w:r w:rsidR="00604C79">
              <w:rPr>
                <w:rFonts w:cs="Arial"/>
                <w:bCs/>
                <w:color w:val="000000"/>
              </w:rPr>
              <w:lastRenderedPageBreak/>
              <w:t>the issue. Two to three in-person meetings will be held in each community to conduct an informal needs assessment which will inform what content could be of greatest benefit, which could include; understanding Minnesota’s available mineral resources</w:t>
            </w:r>
            <w:r w:rsidR="009E691E">
              <w:rPr>
                <w:rFonts w:cs="Arial"/>
                <w:bCs/>
                <w:color w:val="000000"/>
              </w:rPr>
              <w:t xml:space="preserve"> and their potential </w:t>
            </w:r>
            <w:r w:rsidR="008D1754">
              <w:rPr>
                <w:rFonts w:cs="Arial"/>
                <w:bCs/>
                <w:color w:val="000000"/>
              </w:rPr>
              <w:t xml:space="preserve">value in </w:t>
            </w:r>
            <w:r w:rsidR="009E691E">
              <w:rPr>
                <w:rFonts w:cs="Arial"/>
                <w:bCs/>
                <w:color w:val="000000"/>
              </w:rPr>
              <w:t>applications</w:t>
            </w:r>
            <w:r w:rsidR="00604C79">
              <w:rPr>
                <w:rFonts w:cs="Arial"/>
                <w:bCs/>
                <w:color w:val="000000"/>
              </w:rPr>
              <w:t xml:space="preserve">, interactions between mineral and water resources, </w:t>
            </w:r>
            <w:r w:rsidR="00FF7800">
              <w:rPr>
                <w:rFonts w:cs="Arial"/>
                <w:bCs/>
                <w:color w:val="000000"/>
              </w:rPr>
              <w:t>emerging water resource challenges</w:t>
            </w:r>
            <w:r w:rsidR="008D1754">
              <w:rPr>
                <w:rFonts w:cs="Arial"/>
                <w:bCs/>
                <w:color w:val="000000"/>
              </w:rPr>
              <w:t xml:space="preserve"> and capabilities of water remediation technologies</w:t>
            </w:r>
            <w:r w:rsidR="00FF7800">
              <w:rPr>
                <w:rFonts w:cs="Arial"/>
                <w:bCs/>
                <w:color w:val="000000"/>
              </w:rPr>
              <w:t xml:space="preserve">, </w:t>
            </w:r>
            <w:r w:rsidR="00604C79">
              <w:rPr>
                <w:rFonts w:cs="Arial"/>
                <w:bCs/>
                <w:color w:val="000000"/>
              </w:rPr>
              <w:t xml:space="preserve">among others. Guidance on program format and delivery will also be sought from the committee to maximize the potential for community engagement.  </w:t>
            </w:r>
          </w:p>
          <w:p w14:paraId="33482B7D" w14:textId="77777777" w:rsidR="005431D4" w:rsidRPr="00217C2A" w:rsidRDefault="005431D4" w:rsidP="00A46C21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ENRTF BUDGET: </w:t>
            </w:r>
            <w:r w:rsidR="00A46C21">
              <w:rPr>
                <w:rFonts w:cs="Arial"/>
                <w:b/>
                <w:bCs/>
                <w:color w:val="000000"/>
              </w:rPr>
              <w:t>$94,638</w:t>
            </w:r>
          </w:p>
        </w:tc>
        <w:tc>
          <w:tcPr>
            <w:tcW w:w="270" w:type="dxa"/>
          </w:tcPr>
          <w:p w14:paraId="72B92F60" w14:textId="77777777" w:rsidR="00686B53" w:rsidRPr="00EB5831" w:rsidRDefault="00686B53" w:rsidP="001133CD">
            <w:pPr>
              <w:spacing w:after="120"/>
              <w:rPr>
                <w:rFonts w:cs="Arial"/>
              </w:rPr>
            </w:pPr>
          </w:p>
        </w:tc>
      </w:tr>
      <w:tr w:rsidR="00EA2B92" w:rsidRPr="00EB5831" w14:paraId="6CCE0139" w14:textId="77777777" w:rsidTr="007E394E">
        <w:tc>
          <w:tcPr>
            <w:tcW w:w="10548" w:type="dxa"/>
            <w:gridSpan w:val="4"/>
          </w:tcPr>
          <w:tbl>
            <w:tblPr>
              <w:tblW w:w="10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0"/>
              <w:gridCol w:w="1647"/>
              <w:gridCol w:w="1550"/>
            </w:tblGrid>
            <w:tr w:rsidR="00121E8A" w:rsidRPr="009D6EC8" w14:paraId="7A05A79C" w14:textId="77777777" w:rsidTr="00A51BDA">
              <w:tc>
                <w:tcPr>
                  <w:tcW w:w="6925" w:type="dxa"/>
                </w:tcPr>
                <w:p w14:paraId="60B0F04E" w14:textId="77777777" w:rsidR="00121E8A" w:rsidRPr="009D6EC8" w:rsidRDefault="00121E8A" w:rsidP="00A51BDA">
                  <w:pPr>
                    <w:rPr>
                      <w:rFonts w:cs="Arial"/>
                      <w:b/>
                    </w:rPr>
                  </w:pPr>
                  <w:r w:rsidRPr="009D6EC8">
                    <w:rPr>
                      <w:rFonts w:cs="Arial"/>
                      <w:b/>
                    </w:rPr>
                    <w:lastRenderedPageBreak/>
                    <w:t>Outcome</w:t>
                  </w:r>
                </w:p>
              </w:tc>
              <w:tc>
                <w:tcPr>
                  <w:tcW w:w="1620" w:type="dxa"/>
                </w:tcPr>
                <w:p w14:paraId="7EFFC38A" w14:textId="77777777" w:rsidR="00121E8A" w:rsidRPr="009D6EC8" w:rsidRDefault="00121E8A" w:rsidP="00A51BDA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Start </w:t>
                  </w:r>
                  <w:r w:rsidRPr="009D6EC8">
                    <w:rPr>
                      <w:rFonts w:cs="Arial"/>
                      <w:b/>
                    </w:rPr>
                    <w:t>Date</w:t>
                  </w:r>
                </w:p>
              </w:tc>
              <w:tc>
                <w:tcPr>
                  <w:tcW w:w="1525" w:type="dxa"/>
                </w:tcPr>
                <w:p w14:paraId="34FD71DB" w14:textId="77777777" w:rsidR="00121E8A" w:rsidRPr="009D6EC8" w:rsidRDefault="00121E8A" w:rsidP="00A51BDA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End Date</w:t>
                  </w:r>
                </w:p>
              </w:tc>
            </w:tr>
            <w:tr w:rsidR="00121E8A" w:rsidRPr="009D6EC8" w14:paraId="6BC1453F" w14:textId="77777777" w:rsidTr="00A51BDA">
              <w:tc>
                <w:tcPr>
                  <w:tcW w:w="6925" w:type="dxa"/>
                </w:tcPr>
                <w:p w14:paraId="45FC0FB2" w14:textId="77777777" w:rsidR="00121E8A" w:rsidRPr="00A26577" w:rsidRDefault="00121E8A" w:rsidP="00A26577">
                  <w:pPr>
                    <w:rPr>
                      <w:rFonts w:cs="Arial"/>
                    </w:rPr>
                  </w:pPr>
                  <w:r w:rsidRPr="00A26577">
                    <w:rPr>
                      <w:rFonts w:cs="Arial"/>
                    </w:rPr>
                    <w:t xml:space="preserve">1. Project team </w:t>
                  </w:r>
                  <w:r w:rsidR="00ED6004" w:rsidRPr="00A26577">
                    <w:rPr>
                      <w:rFonts w:cs="Arial"/>
                    </w:rPr>
                    <w:t xml:space="preserve">assembled; </w:t>
                  </w:r>
                  <w:r w:rsidR="00604C79" w:rsidRPr="00A26577">
                    <w:rPr>
                      <w:rFonts w:cs="Arial"/>
                    </w:rPr>
                    <w:t>communities identified; formation of community steering committees</w:t>
                  </w:r>
                  <w:r w:rsidR="00F12D70" w:rsidRPr="00A26577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1620" w:type="dxa"/>
                </w:tcPr>
                <w:p w14:paraId="71F2FB99" w14:textId="77777777" w:rsidR="00121E8A" w:rsidRPr="00DC12D3" w:rsidRDefault="00121E8A" w:rsidP="00121E8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Jul 1, 2020</w:t>
                  </w:r>
                </w:p>
              </w:tc>
              <w:tc>
                <w:tcPr>
                  <w:tcW w:w="1525" w:type="dxa"/>
                </w:tcPr>
                <w:p w14:paraId="11AB17EB" w14:textId="77777777" w:rsidR="00121E8A" w:rsidRPr="009D6EC8" w:rsidRDefault="00121E8A" w:rsidP="00121E8A">
                  <w:pPr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</w:rPr>
                    <w:t>Sep 30, 2020</w:t>
                  </w:r>
                </w:p>
              </w:tc>
            </w:tr>
            <w:tr w:rsidR="00ED6004" w:rsidRPr="009D6EC8" w14:paraId="03619C90" w14:textId="77777777" w:rsidTr="00A51BDA">
              <w:tc>
                <w:tcPr>
                  <w:tcW w:w="6925" w:type="dxa"/>
                </w:tcPr>
                <w:p w14:paraId="708A6889" w14:textId="77777777" w:rsidR="00ED6004" w:rsidRPr="00A26577" w:rsidRDefault="00ED6004" w:rsidP="00A26577">
                  <w:pPr>
                    <w:rPr>
                      <w:rFonts w:cs="Arial"/>
                    </w:rPr>
                  </w:pPr>
                  <w:r w:rsidRPr="00A26577">
                    <w:rPr>
                      <w:rFonts w:cs="Arial"/>
                    </w:rPr>
                    <w:t xml:space="preserve">2. </w:t>
                  </w:r>
                  <w:r w:rsidR="00A26577" w:rsidRPr="00A26577">
                    <w:rPr>
                      <w:rFonts w:cs="Arial"/>
                    </w:rPr>
                    <w:t>Steering c</w:t>
                  </w:r>
                  <w:r w:rsidR="00604C79" w:rsidRPr="00A26577">
                    <w:rPr>
                      <w:rFonts w:cs="Arial"/>
                    </w:rPr>
                    <w:t>ommittee meetings; informal needs assessment work</w:t>
                  </w:r>
                </w:p>
              </w:tc>
              <w:tc>
                <w:tcPr>
                  <w:tcW w:w="1620" w:type="dxa"/>
                </w:tcPr>
                <w:p w14:paraId="08D94A48" w14:textId="77777777" w:rsidR="00ED6004" w:rsidRDefault="00ED6004" w:rsidP="00121E8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Oct 1, 2020</w:t>
                  </w:r>
                </w:p>
              </w:tc>
              <w:tc>
                <w:tcPr>
                  <w:tcW w:w="1525" w:type="dxa"/>
                </w:tcPr>
                <w:p w14:paraId="13035F09" w14:textId="77777777" w:rsidR="00ED6004" w:rsidRDefault="00ED6004" w:rsidP="00121E8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Nov 30, 2020</w:t>
                  </w:r>
                </w:p>
              </w:tc>
            </w:tr>
            <w:tr w:rsidR="00121E8A" w:rsidRPr="009D6EC8" w14:paraId="50A05EBB" w14:textId="77777777" w:rsidTr="00A51BDA">
              <w:tc>
                <w:tcPr>
                  <w:tcW w:w="6925" w:type="dxa"/>
                </w:tcPr>
                <w:p w14:paraId="52BFEDF1" w14:textId="77777777" w:rsidR="00121E8A" w:rsidRPr="00A26577" w:rsidRDefault="00ED6004" w:rsidP="00855C0B">
                  <w:pPr>
                    <w:rPr>
                      <w:rFonts w:cs="Arial"/>
                    </w:rPr>
                  </w:pPr>
                  <w:r w:rsidRPr="00A26577">
                    <w:rPr>
                      <w:rFonts w:cs="Arial"/>
                    </w:rPr>
                    <w:t>3</w:t>
                  </w:r>
                  <w:r w:rsidR="00121E8A" w:rsidRPr="00A26577">
                    <w:rPr>
                      <w:rFonts w:cs="Arial"/>
                    </w:rPr>
                    <w:t>.</w:t>
                  </w:r>
                  <w:r w:rsidR="00A26577" w:rsidRPr="00A26577">
                    <w:rPr>
                      <w:rFonts w:cs="Arial"/>
                    </w:rPr>
                    <w:t xml:space="preserve"> Development of outreach programs</w:t>
                  </w:r>
                  <w:r w:rsidR="00121E8A" w:rsidRPr="00A26577">
                    <w:rPr>
                      <w:rFonts w:cs="Arial"/>
                    </w:rPr>
                    <w:t xml:space="preserve">  </w:t>
                  </w:r>
                </w:p>
              </w:tc>
              <w:tc>
                <w:tcPr>
                  <w:tcW w:w="1620" w:type="dxa"/>
                </w:tcPr>
                <w:p w14:paraId="28182825" w14:textId="77777777" w:rsidR="00121E8A" w:rsidRPr="00E56BCA" w:rsidRDefault="00ED6004" w:rsidP="00ED600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Dec 1</w:t>
                  </w:r>
                  <w:r w:rsidR="00121E8A">
                    <w:rPr>
                      <w:rFonts w:cs="Arial"/>
                    </w:rPr>
                    <w:t>, 2020</w:t>
                  </w:r>
                </w:p>
              </w:tc>
              <w:tc>
                <w:tcPr>
                  <w:tcW w:w="1525" w:type="dxa"/>
                </w:tcPr>
                <w:p w14:paraId="41C8D501" w14:textId="77777777" w:rsidR="00121E8A" w:rsidRPr="00E56BCA" w:rsidRDefault="00121E8A" w:rsidP="00121E8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Mar 31, 2021</w:t>
                  </w:r>
                </w:p>
              </w:tc>
            </w:tr>
          </w:tbl>
          <w:p w14:paraId="335EFDD5" w14:textId="77777777" w:rsidR="00121E8A" w:rsidRDefault="00121E8A" w:rsidP="00121E8A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E3C9C4F" w14:textId="77777777" w:rsidR="00EA2B92" w:rsidRDefault="00121E8A" w:rsidP="00A46C21">
            <w:pPr>
              <w:widowControl w:val="0"/>
              <w:spacing w:after="60"/>
              <w:ind w:right="252"/>
              <w:rPr>
                <w:rFonts w:cs="Arial"/>
                <w:b/>
              </w:rPr>
            </w:pPr>
            <w:r w:rsidRPr="00121E8A">
              <w:rPr>
                <w:rFonts w:cs="Arial"/>
                <w:b/>
              </w:rPr>
              <w:t xml:space="preserve">Activity 2:  </w:t>
            </w:r>
            <w:r w:rsidR="00A26577">
              <w:rPr>
                <w:rFonts w:cs="Arial"/>
                <w:b/>
              </w:rPr>
              <w:t>Delivery of outreach programs in each targeted community</w:t>
            </w:r>
          </w:p>
          <w:p w14:paraId="56456AEC" w14:textId="2CC3C100" w:rsidR="00A26577" w:rsidRPr="00A26577" w:rsidRDefault="00A26577" w:rsidP="004B6672">
            <w:pPr>
              <w:widowControl w:val="0"/>
              <w:spacing w:after="120"/>
              <w:ind w:right="252"/>
              <w:rPr>
                <w:rFonts w:cs="Arial"/>
              </w:rPr>
            </w:pPr>
            <w:r>
              <w:rPr>
                <w:rFonts w:cs="Arial"/>
              </w:rPr>
              <w:t xml:space="preserve">Informed by the community steering committees outlined in Activity 1, individual community events will be hosted with the primary objective to </w:t>
            </w:r>
            <w:r w:rsidR="004B6672">
              <w:rPr>
                <w:rFonts w:cs="Arial"/>
              </w:rPr>
              <w:t>present unbiased information clearly</w:t>
            </w:r>
            <w:r w:rsidR="008A4213">
              <w:rPr>
                <w:rFonts w:cs="Arial"/>
              </w:rPr>
              <w:t xml:space="preserve"> and promote constructive conversations around the challenging issues of metal mining and </w:t>
            </w:r>
            <w:r w:rsidR="004B6672">
              <w:rPr>
                <w:rFonts w:cs="Arial"/>
              </w:rPr>
              <w:t>water resources</w:t>
            </w:r>
            <w:r w:rsidR="008A4213">
              <w:rPr>
                <w:rFonts w:cs="Arial"/>
              </w:rPr>
              <w:t xml:space="preserve">. </w:t>
            </w:r>
            <w:r w:rsidR="004B6672">
              <w:rPr>
                <w:rFonts w:cs="Arial"/>
              </w:rPr>
              <w:t>Citizen input and reaction will be solicited</w:t>
            </w:r>
            <w:r w:rsidR="008A4213">
              <w:rPr>
                <w:rFonts w:cs="Arial"/>
              </w:rPr>
              <w:t xml:space="preserve"> to determine baseline knowledge of science and related issues coming into the program and after to determine how the program content increased participant knowledge. Program evaluations coupled with the </w:t>
            </w:r>
            <w:r w:rsidR="004B6672">
              <w:rPr>
                <w:rFonts w:cs="Arial"/>
              </w:rPr>
              <w:t>citizen input</w:t>
            </w:r>
            <w:r w:rsidR="008A4213">
              <w:rPr>
                <w:rFonts w:cs="Arial"/>
              </w:rPr>
              <w:t xml:space="preserve"> will inform a project report that will outline lessons learned from the pilot study in attempt to advise </w:t>
            </w:r>
            <w:r w:rsidR="004B6672">
              <w:rPr>
                <w:rFonts w:cs="Arial"/>
              </w:rPr>
              <w:t xml:space="preserve">potential </w:t>
            </w:r>
            <w:r w:rsidR="008A4213">
              <w:rPr>
                <w:rFonts w:cs="Arial"/>
              </w:rPr>
              <w:t xml:space="preserve">program dissemination statewide. </w:t>
            </w:r>
          </w:p>
          <w:p w14:paraId="4023D2F9" w14:textId="77777777" w:rsidR="00EA2B92" w:rsidRPr="00217C2A" w:rsidRDefault="00EA2B92" w:rsidP="00A46C21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ENRTF BUDGET: </w:t>
            </w:r>
            <w:r w:rsidRPr="00A46C21">
              <w:rPr>
                <w:rFonts w:cs="Arial"/>
                <w:b/>
                <w:bCs/>
                <w:color w:val="000000"/>
              </w:rPr>
              <w:t>$</w:t>
            </w:r>
            <w:r w:rsidR="00121E8A" w:rsidRPr="00A46C21">
              <w:rPr>
                <w:rFonts w:cs="Arial"/>
                <w:b/>
                <w:bCs/>
                <w:color w:val="000000"/>
              </w:rPr>
              <w:t>1</w:t>
            </w:r>
            <w:r w:rsidR="00A46C21">
              <w:rPr>
                <w:rFonts w:cs="Arial"/>
                <w:b/>
                <w:bCs/>
                <w:color w:val="000000"/>
              </w:rPr>
              <w:t>01</w:t>
            </w:r>
            <w:r w:rsidR="00121E8A" w:rsidRPr="00A46C21">
              <w:rPr>
                <w:rFonts w:cs="Arial"/>
                <w:b/>
                <w:bCs/>
                <w:color w:val="000000"/>
              </w:rPr>
              <w:t>,</w:t>
            </w:r>
            <w:r w:rsidR="00A46C21">
              <w:rPr>
                <w:rFonts w:cs="Arial"/>
                <w:b/>
                <w:bCs/>
                <w:color w:val="000000"/>
              </w:rPr>
              <w:t>989</w:t>
            </w:r>
          </w:p>
        </w:tc>
        <w:tc>
          <w:tcPr>
            <w:tcW w:w="270" w:type="dxa"/>
          </w:tcPr>
          <w:p w14:paraId="3961823C" w14:textId="77777777" w:rsidR="00EA2B92" w:rsidRPr="00EB5831" w:rsidRDefault="00EA2B92" w:rsidP="00A51BDA">
            <w:pPr>
              <w:rPr>
                <w:rFonts w:cs="Arial"/>
              </w:rPr>
            </w:pPr>
          </w:p>
        </w:tc>
      </w:tr>
      <w:tr w:rsidR="00121E8A" w:rsidRPr="009D6EC8" w14:paraId="6E3775DA" w14:textId="77777777" w:rsidTr="007E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6" w:type="dxa"/>
        </w:trPr>
        <w:tc>
          <w:tcPr>
            <w:tcW w:w="7040" w:type="dxa"/>
          </w:tcPr>
          <w:p w14:paraId="3611E836" w14:textId="77777777" w:rsidR="00121E8A" w:rsidRPr="009D6EC8" w:rsidRDefault="00121E8A" w:rsidP="00A51BDA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647" w:type="dxa"/>
          </w:tcPr>
          <w:p w14:paraId="680626DF" w14:textId="77777777" w:rsidR="00121E8A" w:rsidRPr="009D6EC8" w:rsidRDefault="00121E8A" w:rsidP="00A51BD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Start </w:t>
            </w:r>
            <w:r w:rsidRPr="009D6EC8">
              <w:rPr>
                <w:rFonts w:cs="Arial"/>
                <w:b/>
              </w:rPr>
              <w:t>Date</w:t>
            </w:r>
          </w:p>
        </w:tc>
        <w:tc>
          <w:tcPr>
            <w:tcW w:w="1550" w:type="dxa"/>
          </w:tcPr>
          <w:p w14:paraId="4F0E2F3F" w14:textId="77777777" w:rsidR="00121E8A" w:rsidRPr="009D6EC8" w:rsidRDefault="00121E8A" w:rsidP="00A51BD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End Date</w:t>
            </w:r>
          </w:p>
        </w:tc>
      </w:tr>
      <w:tr w:rsidR="00121E8A" w:rsidRPr="009D6EC8" w14:paraId="3CCC8E5E" w14:textId="77777777" w:rsidTr="007E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6" w:type="dxa"/>
        </w:trPr>
        <w:tc>
          <w:tcPr>
            <w:tcW w:w="7040" w:type="dxa"/>
          </w:tcPr>
          <w:p w14:paraId="60B11099" w14:textId="77777777" w:rsidR="00121E8A" w:rsidRPr="007E394E" w:rsidRDefault="00121E8A" w:rsidP="00183428">
            <w:pPr>
              <w:rPr>
                <w:rFonts w:cs="Arial"/>
              </w:rPr>
            </w:pPr>
            <w:r w:rsidRPr="007E394E">
              <w:rPr>
                <w:rFonts w:cs="Arial"/>
              </w:rPr>
              <w:t xml:space="preserve">1.  </w:t>
            </w:r>
            <w:r w:rsidR="007E394E">
              <w:rPr>
                <w:rFonts w:cs="Arial"/>
              </w:rPr>
              <w:t>Delivery of outreach programs (forum/symposium style event) in each community; concurrent survey work</w:t>
            </w:r>
          </w:p>
        </w:tc>
        <w:tc>
          <w:tcPr>
            <w:tcW w:w="1647" w:type="dxa"/>
          </w:tcPr>
          <w:p w14:paraId="03D6A6B6" w14:textId="77777777" w:rsidR="00121E8A" w:rsidRPr="007E394E" w:rsidRDefault="00121E8A" w:rsidP="00121E8A">
            <w:pPr>
              <w:rPr>
                <w:rFonts w:cs="Arial"/>
              </w:rPr>
            </w:pPr>
            <w:r w:rsidRPr="007E394E">
              <w:rPr>
                <w:rFonts w:cs="Arial"/>
              </w:rPr>
              <w:t>Apr 1, 2021</w:t>
            </w:r>
          </w:p>
        </w:tc>
        <w:tc>
          <w:tcPr>
            <w:tcW w:w="1550" w:type="dxa"/>
          </w:tcPr>
          <w:p w14:paraId="5CC64186" w14:textId="77777777" w:rsidR="00121E8A" w:rsidRPr="007E394E" w:rsidRDefault="007E394E" w:rsidP="00121E8A">
            <w:pPr>
              <w:rPr>
                <w:rFonts w:cs="Arial"/>
              </w:rPr>
            </w:pPr>
            <w:r>
              <w:rPr>
                <w:rFonts w:cs="Arial"/>
              </w:rPr>
              <w:t>May 31, 2021</w:t>
            </w:r>
          </w:p>
        </w:tc>
      </w:tr>
      <w:tr w:rsidR="00121E8A" w:rsidRPr="009D6EC8" w14:paraId="3674B14D" w14:textId="77777777" w:rsidTr="007E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6" w:type="dxa"/>
        </w:trPr>
        <w:tc>
          <w:tcPr>
            <w:tcW w:w="7040" w:type="dxa"/>
          </w:tcPr>
          <w:p w14:paraId="0E7E7A14" w14:textId="77777777" w:rsidR="00121E8A" w:rsidRPr="007E394E" w:rsidRDefault="00121E8A" w:rsidP="007E394E">
            <w:pPr>
              <w:rPr>
                <w:rFonts w:cs="Arial"/>
              </w:rPr>
            </w:pPr>
            <w:r w:rsidRPr="007E394E">
              <w:rPr>
                <w:rFonts w:cs="Arial"/>
              </w:rPr>
              <w:t xml:space="preserve">2.  </w:t>
            </w:r>
            <w:r w:rsidR="007E394E">
              <w:rPr>
                <w:rFonts w:cs="Arial"/>
              </w:rPr>
              <w:t>Analysis of survey work and reflections from the programs</w:t>
            </w:r>
          </w:p>
        </w:tc>
        <w:tc>
          <w:tcPr>
            <w:tcW w:w="1647" w:type="dxa"/>
          </w:tcPr>
          <w:p w14:paraId="251E0126" w14:textId="77777777" w:rsidR="00121E8A" w:rsidRPr="007E394E" w:rsidRDefault="007E394E" w:rsidP="00121E8A">
            <w:pPr>
              <w:rPr>
                <w:rFonts w:cs="Arial"/>
              </w:rPr>
            </w:pPr>
            <w:r>
              <w:rPr>
                <w:rFonts w:cs="Arial"/>
              </w:rPr>
              <w:t>Jun 1, 2021</w:t>
            </w:r>
          </w:p>
        </w:tc>
        <w:tc>
          <w:tcPr>
            <w:tcW w:w="1550" w:type="dxa"/>
          </w:tcPr>
          <w:p w14:paraId="0B1EC4E8" w14:textId="77777777" w:rsidR="00121E8A" w:rsidRPr="007E394E" w:rsidRDefault="007E394E" w:rsidP="00121E8A">
            <w:pPr>
              <w:rPr>
                <w:rFonts w:cs="Arial"/>
              </w:rPr>
            </w:pPr>
            <w:r>
              <w:rPr>
                <w:rFonts w:cs="Arial"/>
              </w:rPr>
              <w:t>Sep 30, 2021</w:t>
            </w:r>
          </w:p>
        </w:tc>
      </w:tr>
      <w:tr w:rsidR="00121E8A" w:rsidRPr="009D6EC8" w14:paraId="7A6DD762" w14:textId="77777777" w:rsidTr="007E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6" w:type="dxa"/>
        </w:trPr>
        <w:tc>
          <w:tcPr>
            <w:tcW w:w="7040" w:type="dxa"/>
          </w:tcPr>
          <w:p w14:paraId="35C2B994" w14:textId="77777777" w:rsidR="00121E8A" w:rsidRPr="007E394E" w:rsidRDefault="00121E8A" w:rsidP="00183428">
            <w:pPr>
              <w:rPr>
                <w:rFonts w:cs="Arial"/>
              </w:rPr>
            </w:pPr>
            <w:r w:rsidRPr="007E394E">
              <w:rPr>
                <w:rFonts w:cs="Arial"/>
              </w:rPr>
              <w:t xml:space="preserve">3.  </w:t>
            </w:r>
            <w:r w:rsidR="007E394E">
              <w:rPr>
                <w:rFonts w:cs="Arial"/>
              </w:rPr>
              <w:t>Report development outlining results of pilot study</w:t>
            </w:r>
            <w:r w:rsidR="00183428">
              <w:rPr>
                <w:rFonts w:cs="Arial"/>
              </w:rPr>
              <w:t>,</w:t>
            </w:r>
            <w:r w:rsidR="007E394E">
              <w:rPr>
                <w:rFonts w:cs="Arial"/>
              </w:rPr>
              <w:t xml:space="preserve"> recommendation for statewide application</w:t>
            </w:r>
            <w:r w:rsidR="00183428">
              <w:rPr>
                <w:rFonts w:cs="Arial"/>
              </w:rPr>
              <w:t>,</w:t>
            </w:r>
            <w:r w:rsidR="007E394E">
              <w:rPr>
                <w:rFonts w:cs="Arial"/>
              </w:rPr>
              <w:t xml:space="preserve"> analysis of </w:t>
            </w:r>
            <w:r w:rsidR="00183428">
              <w:rPr>
                <w:rFonts w:cs="Arial"/>
              </w:rPr>
              <w:t>change in</w:t>
            </w:r>
            <w:r w:rsidR="007E394E">
              <w:rPr>
                <w:rFonts w:cs="Arial"/>
              </w:rPr>
              <w:t xml:space="preserve"> citizen literacy and perceptions</w:t>
            </w:r>
          </w:p>
        </w:tc>
        <w:tc>
          <w:tcPr>
            <w:tcW w:w="1647" w:type="dxa"/>
          </w:tcPr>
          <w:p w14:paraId="0A563E1B" w14:textId="77777777" w:rsidR="00121E8A" w:rsidRPr="007E394E" w:rsidRDefault="007E394E" w:rsidP="00121E8A">
            <w:pPr>
              <w:rPr>
                <w:rFonts w:cs="Arial"/>
              </w:rPr>
            </w:pPr>
            <w:r>
              <w:rPr>
                <w:rFonts w:cs="Arial"/>
              </w:rPr>
              <w:t>Oct 1, 2021</w:t>
            </w:r>
          </w:p>
        </w:tc>
        <w:tc>
          <w:tcPr>
            <w:tcW w:w="1550" w:type="dxa"/>
          </w:tcPr>
          <w:p w14:paraId="29995565" w14:textId="77777777" w:rsidR="00121E8A" w:rsidRPr="007E394E" w:rsidRDefault="007E394E" w:rsidP="00121E8A">
            <w:pPr>
              <w:rPr>
                <w:rFonts w:cs="Arial"/>
              </w:rPr>
            </w:pPr>
            <w:r>
              <w:rPr>
                <w:rFonts w:cs="Arial"/>
              </w:rPr>
              <w:t>Dec 31, 2021</w:t>
            </w:r>
          </w:p>
        </w:tc>
      </w:tr>
      <w:tr w:rsidR="007E394E" w:rsidRPr="009D6EC8" w14:paraId="5DA2E678" w14:textId="77777777" w:rsidTr="007E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6" w:type="dxa"/>
        </w:trPr>
        <w:tc>
          <w:tcPr>
            <w:tcW w:w="7040" w:type="dxa"/>
          </w:tcPr>
          <w:p w14:paraId="62ECC6AE" w14:textId="77777777" w:rsidR="007E394E" w:rsidRPr="007E394E" w:rsidRDefault="007E394E" w:rsidP="00A51BDA">
            <w:pPr>
              <w:rPr>
                <w:rFonts w:cs="Arial"/>
              </w:rPr>
            </w:pPr>
            <w:r>
              <w:rPr>
                <w:rFonts w:cs="Arial"/>
              </w:rPr>
              <w:t>4. Distribution of report and presentations at appropriate venues</w:t>
            </w:r>
          </w:p>
        </w:tc>
        <w:tc>
          <w:tcPr>
            <w:tcW w:w="1647" w:type="dxa"/>
          </w:tcPr>
          <w:p w14:paraId="308EF99F" w14:textId="77777777" w:rsidR="007E394E" w:rsidRDefault="007E394E" w:rsidP="00121E8A">
            <w:pPr>
              <w:rPr>
                <w:rFonts w:cs="Arial"/>
              </w:rPr>
            </w:pPr>
            <w:r>
              <w:rPr>
                <w:rFonts w:cs="Arial"/>
              </w:rPr>
              <w:t>Jan 1, 2022</w:t>
            </w:r>
          </w:p>
        </w:tc>
        <w:tc>
          <w:tcPr>
            <w:tcW w:w="1550" w:type="dxa"/>
          </w:tcPr>
          <w:p w14:paraId="780B1EA0" w14:textId="77777777" w:rsidR="007E394E" w:rsidRDefault="007E394E" w:rsidP="00121E8A">
            <w:pPr>
              <w:rPr>
                <w:rFonts w:cs="Arial"/>
              </w:rPr>
            </w:pPr>
            <w:r>
              <w:rPr>
                <w:rFonts w:cs="Arial"/>
              </w:rPr>
              <w:t>Apr 30, 2022</w:t>
            </w:r>
          </w:p>
        </w:tc>
      </w:tr>
      <w:tr w:rsidR="007E394E" w:rsidRPr="009D6EC8" w14:paraId="51E08BCF" w14:textId="77777777" w:rsidTr="007E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6" w:type="dxa"/>
        </w:trPr>
        <w:tc>
          <w:tcPr>
            <w:tcW w:w="7040" w:type="dxa"/>
          </w:tcPr>
          <w:p w14:paraId="4D707DA8" w14:textId="77777777" w:rsidR="007E394E" w:rsidRDefault="007E394E" w:rsidP="00183428">
            <w:pPr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Pr="007E394E">
              <w:rPr>
                <w:rFonts w:cs="Arial"/>
              </w:rPr>
              <w:t xml:space="preserve">Final report to LCCMR completed and project findings posted and made available </w:t>
            </w:r>
            <w:r w:rsidR="00A46C21">
              <w:rPr>
                <w:rFonts w:cs="Arial"/>
              </w:rPr>
              <w:t>to inform the public</w:t>
            </w:r>
            <w:r w:rsidRPr="007E394E">
              <w:rPr>
                <w:rFonts w:cs="Arial"/>
              </w:rPr>
              <w:t xml:space="preserve"> and decision-makers. </w:t>
            </w:r>
          </w:p>
        </w:tc>
        <w:tc>
          <w:tcPr>
            <w:tcW w:w="1647" w:type="dxa"/>
          </w:tcPr>
          <w:p w14:paraId="6F917DBB" w14:textId="77777777" w:rsidR="007E394E" w:rsidRDefault="007E394E" w:rsidP="00121E8A">
            <w:pPr>
              <w:rPr>
                <w:rFonts w:cs="Arial"/>
              </w:rPr>
            </w:pPr>
            <w:r>
              <w:rPr>
                <w:rFonts w:cs="Arial"/>
              </w:rPr>
              <w:t>May 1, 2022</w:t>
            </w:r>
          </w:p>
        </w:tc>
        <w:tc>
          <w:tcPr>
            <w:tcW w:w="1550" w:type="dxa"/>
          </w:tcPr>
          <w:p w14:paraId="3B9157C2" w14:textId="77777777" w:rsidR="007E394E" w:rsidRDefault="007E394E" w:rsidP="00121E8A">
            <w:pPr>
              <w:rPr>
                <w:rFonts w:cs="Arial"/>
              </w:rPr>
            </w:pPr>
            <w:r>
              <w:rPr>
                <w:rFonts w:cs="Arial"/>
              </w:rPr>
              <w:t>June 30, 2022</w:t>
            </w:r>
          </w:p>
        </w:tc>
      </w:tr>
    </w:tbl>
    <w:p w14:paraId="2E607857" w14:textId="77777777" w:rsidR="00121E8A" w:rsidRPr="00A46C21" w:rsidRDefault="00121E8A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sz w:val="6"/>
          <w:szCs w:val="6"/>
        </w:rPr>
      </w:pPr>
    </w:p>
    <w:p w14:paraId="45F569E9" w14:textId="77777777" w:rsidR="005431D4" w:rsidRPr="00AF4ECD" w:rsidRDefault="006E0EFD" w:rsidP="00183428">
      <w:pPr>
        <w:tabs>
          <w:tab w:val="left" w:pos="540"/>
        </w:tabs>
        <w:autoSpaceDE w:val="0"/>
        <w:autoSpaceDN w:val="0"/>
        <w:adjustRightInd w:val="0"/>
        <w:spacing w:before="120" w:after="120"/>
        <w:outlineLvl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</w:p>
    <w:p w14:paraId="72ECF458" w14:textId="77777777" w:rsidR="00F12D70" w:rsidRPr="00D434BF" w:rsidRDefault="00F12D70" w:rsidP="00183428">
      <w:pPr>
        <w:pStyle w:val="Bodycopy"/>
        <w:spacing w:before="0" w:after="120"/>
        <w:rPr>
          <w:rFonts w:ascii="Calibri" w:hAnsi="Calibri" w:cs="Arial"/>
          <w:i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A.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>Partners receiving ENRTF funding</w:t>
      </w:r>
      <w:r w:rsidR="00183428">
        <w:rPr>
          <w:rFonts w:ascii="Calibri" w:hAnsi="Calibri" w:cs="Arial"/>
          <w:b/>
          <w:noProof/>
          <w:color w:val="auto"/>
          <w:sz w:val="22"/>
          <w:szCs w:val="22"/>
        </w:rPr>
        <w:t>: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noProof/>
          <w:color w:val="auto"/>
          <w:sz w:val="22"/>
          <w:szCs w:val="22"/>
        </w:rPr>
        <w:t>N/A</w:t>
      </w:r>
    </w:p>
    <w:p w14:paraId="0766D8F8" w14:textId="77777777" w:rsidR="00F12D70" w:rsidRPr="00D434BF" w:rsidRDefault="00F12D70" w:rsidP="00183428">
      <w:pPr>
        <w:pStyle w:val="Bodycopy"/>
        <w:spacing w:before="0" w:after="120"/>
        <w:rPr>
          <w:rFonts w:ascii="Calibri" w:hAnsi="Calibri" w:cs="Arial"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B.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>Partners NOT receiving ENRTF funding</w:t>
      </w:r>
      <w:r w:rsidR="00183428">
        <w:rPr>
          <w:rFonts w:ascii="Calibri" w:hAnsi="Calibri" w:cs="Arial"/>
          <w:b/>
          <w:noProof/>
          <w:color w:val="auto"/>
          <w:sz w:val="22"/>
          <w:szCs w:val="22"/>
        </w:rPr>
        <w:t>: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 </w:t>
      </w:r>
      <w:r w:rsidR="007E394E">
        <w:rPr>
          <w:rFonts w:ascii="Calibri" w:hAnsi="Calibri" w:cs="Arial"/>
          <w:noProof/>
          <w:color w:val="auto"/>
          <w:sz w:val="22"/>
          <w:szCs w:val="22"/>
        </w:rPr>
        <w:t>Partners will be id</w:t>
      </w:r>
      <w:r w:rsidR="009C0ADF">
        <w:rPr>
          <w:rFonts w:ascii="Calibri" w:hAnsi="Calibri" w:cs="Arial"/>
          <w:noProof/>
          <w:color w:val="auto"/>
          <w:sz w:val="22"/>
          <w:szCs w:val="22"/>
        </w:rPr>
        <w:t>e</w:t>
      </w:r>
      <w:r w:rsidR="007E394E">
        <w:rPr>
          <w:rFonts w:ascii="Calibri" w:hAnsi="Calibri" w:cs="Arial"/>
          <w:noProof/>
          <w:color w:val="auto"/>
          <w:sz w:val="22"/>
          <w:szCs w:val="22"/>
        </w:rPr>
        <w:t>ntified locally and included in the community steering committees</w:t>
      </w:r>
    </w:p>
    <w:p w14:paraId="0F9E6575" w14:textId="77777777" w:rsidR="005431D4" w:rsidRPr="00AF4ECD" w:rsidRDefault="005431D4" w:rsidP="00C2456E">
      <w:pPr>
        <w:tabs>
          <w:tab w:val="left" w:pos="540"/>
        </w:tabs>
        <w:autoSpaceDE w:val="0"/>
        <w:autoSpaceDN w:val="0"/>
        <w:adjustRightInd w:val="0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>V.</w:t>
      </w:r>
      <w:r w:rsidR="00183428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LONG-TERM- IMPLEMENTATION AND FUNDING:</w:t>
      </w:r>
    </w:p>
    <w:p w14:paraId="4AA6F84B" w14:textId="75D10334" w:rsidR="00A46C21" w:rsidRDefault="007E394E" w:rsidP="00183428">
      <w:pPr>
        <w:spacing w:after="120"/>
        <w:rPr>
          <w:rFonts w:cs="Arial"/>
        </w:rPr>
      </w:pPr>
      <w:r>
        <w:rPr>
          <w:rFonts w:cs="Arial"/>
        </w:rPr>
        <w:t xml:space="preserve">The work conducted on this pilot project will inform potential statewide application to support increased natural resource </w:t>
      </w:r>
      <w:r w:rsidR="004B6672">
        <w:rPr>
          <w:rFonts w:cs="Arial"/>
        </w:rPr>
        <w:t xml:space="preserve">understanding </w:t>
      </w:r>
      <w:r>
        <w:rPr>
          <w:rFonts w:cs="Arial"/>
        </w:rPr>
        <w:t>throughout Minnesota</w:t>
      </w:r>
      <w:r w:rsidR="003F09EE">
        <w:rPr>
          <w:rFonts w:cs="Arial"/>
        </w:rPr>
        <w:t xml:space="preserve">. The model </w:t>
      </w:r>
      <w:r w:rsidR="004B6672">
        <w:rPr>
          <w:rFonts w:cs="Arial"/>
        </w:rPr>
        <w:t>may</w:t>
      </w:r>
      <w:r w:rsidR="003F09EE">
        <w:rPr>
          <w:rFonts w:cs="Arial"/>
        </w:rPr>
        <w:t xml:space="preserve"> be applied to other complex natural resource based issues where </w:t>
      </w:r>
      <w:r w:rsidR="004B6672">
        <w:rPr>
          <w:rFonts w:cs="Arial"/>
        </w:rPr>
        <w:t>citizen’s</w:t>
      </w:r>
      <w:r w:rsidR="003F09EE">
        <w:rPr>
          <w:rFonts w:cs="Arial"/>
        </w:rPr>
        <w:t xml:space="preserve"> values and </w:t>
      </w:r>
      <w:r w:rsidR="004B6672">
        <w:rPr>
          <w:rFonts w:cs="Arial"/>
        </w:rPr>
        <w:t xml:space="preserve">understanding </w:t>
      </w:r>
      <w:r w:rsidR="003F09EE">
        <w:rPr>
          <w:rFonts w:cs="Arial"/>
        </w:rPr>
        <w:t xml:space="preserve">are critical to manage changing landscapes. </w:t>
      </w:r>
      <w:r w:rsidR="00D1084E" w:rsidRPr="00D1084E">
        <w:rPr>
          <w:rFonts w:cs="Arial"/>
        </w:rPr>
        <w:t xml:space="preserve">Long-term funding for </w:t>
      </w:r>
      <w:r w:rsidR="003D5682">
        <w:rPr>
          <w:rFonts w:cs="Arial"/>
        </w:rPr>
        <w:t xml:space="preserve">this and similar communication and education </w:t>
      </w:r>
      <w:r w:rsidR="00D1084E" w:rsidRPr="00D1084E">
        <w:rPr>
          <w:rFonts w:cs="Arial"/>
        </w:rPr>
        <w:t>program</w:t>
      </w:r>
      <w:r w:rsidR="003D5682">
        <w:rPr>
          <w:rFonts w:cs="Arial"/>
        </w:rPr>
        <w:t>s</w:t>
      </w:r>
      <w:r w:rsidR="00D1084E" w:rsidRPr="00D1084E">
        <w:rPr>
          <w:rFonts w:cs="Arial"/>
        </w:rPr>
        <w:t xml:space="preserve"> </w:t>
      </w:r>
      <w:r w:rsidR="003D5682">
        <w:rPr>
          <w:rFonts w:cs="Arial"/>
        </w:rPr>
        <w:t xml:space="preserve">will be a </w:t>
      </w:r>
      <w:r w:rsidR="00D1084E" w:rsidRPr="00D1084E">
        <w:rPr>
          <w:rFonts w:cs="Arial"/>
        </w:rPr>
        <w:t>blend of</w:t>
      </w:r>
      <w:r w:rsidR="003D5682">
        <w:rPr>
          <w:rFonts w:cs="Arial"/>
        </w:rPr>
        <w:t xml:space="preserve"> grant,</w:t>
      </w:r>
      <w:r w:rsidR="00D1084E" w:rsidRPr="00D1084E">
        <w:rPr>
          <w:rFonts w:cs="Arial"/>
        </w:rPr>
        <w:t xml:space="preserve"> matching</w:t>
      </w:r>
      <w:r w:rsidR="003D5682">
        <w:rPr>
          <w:rFonts w:cs="Arial"/>
        </w:rPr>
        <w:t xml:space="preserve">, </w:t>
      </w:r>
      <w:r w:rsidR="00D1084E" w:rsidRPr="00D1084E">
        <w:rPr>
          <w:rFonts w:cs="Arial"/>
        </w:rPr>
        <w:t>and in-kind support from the project collaborators, agencies, foundations, and the private and public sectors</w:t>
      </w:r>
      <w:r w:rsidR="003D5682">
        <w:rPr>
          <w:rFonts w:cs="Arial"/>
        </w:rPr>
        <w:t>.</w:t>
      </w:r>
    </w:p>
    <w:p w14:paraId="02903755" w14:textId="77777777" w:rsidR="005431D4" w:rsidRPr="00AF4ECD" w:rsidRDefault="00A46C21" w:rsidP="00183428">
      <w:pPr>
        <w:rPr>
          <w:rFonts w:cs="Arial"/>
          <w:b/>
          <w:bCs/>
          <w:color w:val="000000"/>
        </w:rPr>
      </w:pPr>
      <w:r w:rsidRPr="00A46C21">
        <w:rPr>
          <w:rFonts w:cs="Arial"/>
          <w:b/>
          <w:sz w:val="6"/>
          <w:szCs w:val="6"/>
        </w:rPr>
        <w:t xml:space="preserve"> </w:t>
      </w:r>
      <w:r w:rsidR="005431D4">
        <w:rPr>
          <w:rFonts w:cs="Arial"/>
          <w:b/>
          <w:bCs/>
          <w:color w:val="000000"/>
        </w:rPr>
        <w:t>V</w:t>
      </w:r>
      <w:r w:rsidR="00183428">
        <w:rPr>
          <w:rFonts w:cs="Arial"/>
          <w:b/>
          <w:bCs/>
          <w:color w:val="000000"/>
        </w:rPr>
        <w:t xml:space="preserve">. </w:t>
      </w:r>
      <w:r w:rsidR="003578A0">
        <w:rPr>
          <w:rFonts w:cs="Arial"/>
          <w:b/>
          <w:bCs/>
          <w:color w:val="000000"/>
        </w:rPr>
        <w:t>TIME LINE</w:t>
      </w:r>
      <w:r w:rsidR="005431D4" w:rsidRPr="00AF4ECD">
        <w:rPr>
          <w:rFonts w:cs="Arial"/>
          <w:b/>
          <w:bCs/>
          <w:color w:val="000000"/>
        </w:rPr>
        <w:t xml:space="preserve"> REQUIREMENTS:</w:t>
      </w:r>
    </w:p>
    <w:p w14:paraId="71A7626F" w14:textId="77777777" w:rsidR="006E0EFD" w:rsidRPr="00A20CED" w:rsidRDefault="0016588F" w:rsidP="00183428">
      <w:pPr>
        <w:spacing w:after="120"/>
      </w:pPr>
      <w:r w:rsidRPr="0016588F">
        <w:rPr>
          <w:rFonts w:cs="Arial"/>
        </w:rPr>
        <w:t>Th</w:t>
      </w:r>
      <w:r>
        <w:rPr>
          <w:rFonts w:cs="Arial"/>
        </w:rPr>
        <w:t xml:space="preserve">e project duration </w:t>
      </w:r>
      <w:r w:rsidR="00E33204">
        <w:rPr>
          <w:rFonts w:cs="Arial"/>
        </w:rPr>
        <w:t xml:space="preserve">would require </w:t>
      </w:r>
      <w:r w:rsidR="00D1084E">
        <w:rPr>
          <w:rFonts w:cs="Arial"/>
        </w:rPr>
        <w:t>two</w:t>
      </w:r>
      <w:r>
        <w:rPr>
          <w:rFonts w:cs="Arial"/>
        </w:rPr>
        <w:t xml:space="preserve"> years</w:t>
      </w:r>
      <w:r w:rsidR="00E33204">
        <w:rPr>
          <w:rFonts w:cs="Arial"/>
        </w:rPr>
        <w:t xml:space="preserve"> of ENRTF funding from 7/1/20</w:t>
      </w:r>
      <w:r w:rsidR="001F7CEC">
        <w:rPr>
          <w:rFonts w:cs="Arial"/>
        </w:rPr>
        <w:t>20</w:t>
      </w:r>
      <w:r w:rsidR="00E33204">
        <w:rPr>
          <w:rFonts w:cs="Arial"/>
        </w:rPr>
        <w:t xml:space="preserve"> to 6/30/202</w:t>
      </w:r>
      <w:r w:rsidR="00D1084E">
        <w:rPr>
          <w:rFonts w:cs="Arial"/>
        </w:rPr>
        <w:t>2</w:t>
      </w:r>
      <w:r>
        <w:rPr>
          <w:rFonts w:cs="Arial"/>
        </w:rPr>
        <w:t>.</w:t>
      </w:r>
    </w:p>
    <w:sectPr w:rsidR="006E0EFD" w:rsidRPr="00A20CED" w:rsidSect="00A46C2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08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603B8" w14:textId="77777777" w:rsidR="009E691E" w:rsidRDefault="009E691E" w:rsidP="00533120">
      <w:r>
        <w:separator/>
      </w:r>
    </w:p>
  </w:endnote>
  <w:endnote w:type="continuationSeparator" w:id="0">
    <w:p w14:paraId="3DD9ACC3" w14:textId="77777777" w:rsidR="009E691E" w:rsidRDefault="009E691E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513B6" w14:textId="2642FD08" w:rsidR="009E691E" w:rsidRDefault="009E69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1BE8">
      <w:rPr>
        <w:noProof/>
      </w:rPr>
      <w:t>1</w:t>
    </w:r>
    <w:r>
      <w:fldChar w:fldCharType="end"/>
    </w:r>
  </w:p>
  <w:p w14:paraId="091202FD" w14:textId="77777777" w:rsidR="009E691E" w:rsidRDefault="009E69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2DD1B" w14:textId="77777777" w:rsidR="009E691E" w:rsidRDefault="009E691E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8794700" w14:textId="77777777" w:rsidR="009E691E" w:rsidRDefault="009E6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5B61D" w14:textId="77777777" w:rsidR="009E691E" w:rsidRDefault="009E691E" w:rsidP="00533120">
      <w:r>
        <w:separator/>
      </w:r>
    </w:p>
  </w:footnote>
  <w:footnote w:type="continuationSeparator" w:id="0">
    <w:p w14:paraId="1BD334F9" w14:textId="77777777" w:rsidR="009E691E" w:rsidRDefault="009E691E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9E691E" w14:paraId="223CD5D0" w14:textId="77777777" w:rsidTr="00E47145">
      <w:tc>
        <w:tcPr>
          <w:tcW w:w="1278" w:type="dxa"/>
        </w:tcPr>
        <w:p w14:paraId="31E9A6EC" w14:textId="77777777" w:rsidR="009E691E" w:rsidRPr="00EB5831" w:rsidRDefault="009E691E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7B0A6BE" wp14:editId="3EF99925">
                <wp:extent cx="669925" cy="478155"/>
                <wp:effectExtent l="0" t="0" r="0" b="0"/>
                <wp:docPr id="99" name="Picture 99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6BB5820D" w14:textId="77777777" w:rsidR="009E691E" w:rsidRPr="00A42E60" w:rsidRDefault="009E691E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D4B1027" w14:textId="77777777" w:rsidR="009E691E" w:rsidRPr="00EB5831" w:rsidRDefault="009E691E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33B78382" w14:textId="77777777" w:rsidR="009E691E" w:rsidRPr="00EB5831" w:rsidRDefault="009E691E" w:rsidP="00EB5831">
          <w:pPr>
            <w:pStyle w:val="Header"/>
            <w:rPr>
              <w:lang w:val="en-US" w:eastAsia="en-US"/>
            </w:rPr>
          </w:pPr>
        </w:p>
      </w:tc>
    </w:tr>
  </w:tbl>
  <w:p w14:paraId="12E36043" w14:textId="77777777" w:rsidR="009E691E" w:rsidRPr="00A42E60" w:rsidRDefault="009E691E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9E691E" w14:paraId="1239FDFD" w14:textId="77777777" w:rsidTr="00C660F0">
      <w:tc>
        <w:tcPr>
          <w:tcW w:w="1098" w:type="dxa"/>
        </w:tcPr>
        <w:p w14:paraId="6955F808" w14:textId="77777777" w:rsidR="009E691E" w:rsidRPr="00EB5831" w:rsidRDefault="009E691E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874FD48" wp14:editId="0B2568A9">
                <wp:extent cx="669925" cy="478155"/>
                <wp:effectExtent l="0" t="0" r="0" b="0"/>
                <wp:docPr id="100" name="Picture 100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2192BA4" w14:textId="77777777" w:rsidR="009E691E" w:rsidRPr="00A42E60" w:rsidRDefault="009E691E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AABF929" w14:textId="77777777" w:rsidR="009E691E" w:rsidRPr="00EB5831" w:rsidRDefault="009E691E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728277C7" w14:textId="77777777" w:rsidR="009E691E" w:rsidRPr="00EB5831" w:rsidRDefault="009E691E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55D18D94" w14:textId="77777777" w:rsidR="009E691E" w:rsidRPr="00F96203" w:rsidRDefault="009E691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A6601"/>
    <w:multiLevelType w:val="hybridMultilevel"/>
    <w:tmpl w:val="1C263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671BDC"/>
    <w:multiLevelType w:val="hybridMultilevel"/>
    <w:tmpl w:val="EE0A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7106E"/>
    <w:multiLevelType w:val="hybridMultilevel"/>
    <w:tmpl w:val="DF86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>
    <w:nsid w:val="56C4665F"/>
    <w:multiLevelType w:val="hybridMultilevel"/>
    <w:tmpl w:val="85BE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B2330"/>
    <w:multiLevelType w:val="hybridMultilevel"/>
    <w:tmpl w:val="3638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15"/>
  </w:num>
  <w:num w:numId="6">
    <w:abstractNumId w:val="2"/>
  </w:num>
  <w:num w:numId="7">
    <w:abstractNumId w:val="8"/>
  </w:num>
  <w:num w:numId="8">
    <w:abstractNumId w:val="5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4"/>
  </w:num>
  <w:num w:numId="14">
    <w:abstractNumId w:val="9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1605B"/>
    <w:rsid w:val="00020FA1"/>
    <w:rsid w:val="00022AA9"/>
    <w:rsid w:val="000370A4"/>
    <w:rsid w:val="0004633B"/>
    <w:rsid w:val="00060F45"/>
    <w:rsid w:val="00061EF5"/>
    <w:rsid w:val="00062497"/>
    <w:rsid w:val="00065366"/>
    <w:rsid w:val="00065454"/>
    <w:rsid w:val="00070DA6"/>
    <w:rsid w:val="0008523B"/>
    <w:rsid w:val="0008551A"/>
    <w:rsid w:val="00094804"/>
    <w:rsid w:val="000961CA"/>
    <w:rsid w:val="000A4EE6"/>
    <w:rsid w:val="000B2BC7"/>
    <w:rsid w:val="000B34BA"/>
    <w:rsid w:val="000C3EF3"/>
    <w:rsid w:val="000D54EE"/>
    <w:rsid w:val="000D7F31"/>
    <w:rsid w:val="000E5C42"/>
    <w:rsid w:val="00100A34"/>
    <w:rsid w:val="00101979"/>
    <w:rsid w:val="00107495"/>
    <w:rsid w:val="001133CD"/>
    <w:rsid w:val="00121E8A"/>
    <w:rsid w:val="00125045"/>
    <w:rsid w:val="00137D60"/>
    <w:rsid w:val="00140ACA"/>
    <w:rsid w:val="00165716"/>
    <w:rsid w:val="0016588F"/>
    <w:rsid w:val="001710AD"/>
    <w:rsid w:val="0018005E"/>
    <w:rsid w:val="00183428"/>
    <w:rsid w:val="00186070"/>
    <w:rsid w:val="001A01D8"/>
    <w:rsid w:val="001A3FD6"/>
    <w:rsid w:val="001B0368"/>
    <w:rsid w:val="001B06FA"/>
    <w:rsid w:val="001B5F68"/>
    <w:rsid w:val="001C35DF"/>
    <w:rsid w:val="001C38CC"/>
    <w:rsid w:val="001D6F23"/>
    <w:rsid w:val="001D7BAD"/>
    <w:rsid w:val="001E0E36"/>
    <w:rsid w:val="001E3887"/>
    <w:rsid w:val="001E42AC"/>
    <w:rsid w:val="001F7CEC"/>
    <w:rsid w:val="00213BA5"/>
    <w:rsid w:val="00214F64"/>
    <w:rsid w:val="002159DD"/>
    <w:rsid w:val="00217C2A"/>
    <w:rsid w:val="00222697"/>
    <w:rsid w:val="0024125B"/>
    <w:rsid w:val="002413E9"/>
    <w:rsid w:val="0025455D"/>
    <w:rsid w:val="00255537"/>
    <w:rsid w:val="0026128A"/>
    <w:rsid w:val="00262C17"/>
    <w:rsid w:val="0027105B"/>
    <w:rsid w:val="002770D4"/>
    <w:rsid w:val="00286FA7"/>
    <w:rsid w:val="00290B33"/>
    <w:rsid w:val="00290C6D"/>
    <w:rsid w:val="00290E4E"/>
    <w:rsid w:val="002B090D"/>
    <w:rsid w:val="002B469A"/>
    <w:rsid w:val="002B7964"/>
    <w:rsid w:val="002C0A47"/>
    <w:rsid w:val="002C449F"/>
    <w:rsid w:val="002C496A"/>
    <w:rsid w:val="002D3019"/>
    <w:rsid w:val="002F0942"/>
    <w:rsid w:val="0031017F"/>
    <w:rsid w:val="003110D3"/>
    <w:rsid w:val="003205A7"/>
    <w:rsid w:val="003239FE"/>
    <w:rsid w:val="00326174"/>
    <w:rsid w:val="00330244"/>
    <w:rsid w:val="00330721"/>
    <w:rsid w:val="003328F5"/>
    <w:rsid w:val="0033541B"/>
    <w:rsid w:val="00335DFF"/>
    <w:rsid w:val="00336762"/>
    <w:rsid w:val="00340CC0"/>
    <w:rsid w:val="00347E7A"/>
    <w:rsid w:val="003514B9"/>
    <w:rsid w:val="00351BD7"/>
    <w:rsid w:val="00351EA6"/>
    <w:rsid w:val="00354888"/>
    <w:rsid w:val="003558D2"/>
    <w:rsid w:val="003578A0"/>
    <w:rsid w:val="00357A65"/>
    <w:rsid w:val="003657FA"/>
    <w:rsid w:val="0037310D"/>
    <w:rsid w:val="00384435"/>
    <w:rsid w:val="0039481E"/>
    <w:rsid w:val="003A0FF0"/>
    <w:rsid w:val="003A3B53"/>
    <w:rsid w:val="003A722B"/>
    <w:rsid w:val="003C093D"/>
    <w:rsid w:val="003D3F67"/>
    <w:rsid w:val="003D5682"/>
    <w:rsid w:val="003D59EF"/>
    <w:rsid w:val="003E7BD2"/>
    <w:rsid w:val="003F09EE"/>
    <w:rsid w:val="003F32CA"/>
    <w:rsid w:val="003F4945"/>
    <w:rsid w:val="00411361"/>
    <w:rsid w:val="0041488B"/>
    <w:rsid w:val="00416D19"/>
    <w:rsid w:val="0041738D"/>
    <w:rsid w:val="004357AE"/>
    <w:rsid w:val="004379B1"/>
    <w:rsid w:val="00440393"/>
    <w:rsid w:val="00442DD5"/>
    <w:rsid w:val="004530F7"/>
    <w:rsid w:val="00454495"/>
    <w:rsid w:val="00461FA7"/>
    <w:rsid w:val="004756F2"/>
    <w:rsid w:val="00484DEB"/>
    <w:rsid w:val="00487394"/>
    <w:rsid w:val="00487D08"/>
    <w:rsid w:val="0049103C"/>
    <w:rsid w:val="004A2FF8"/>
    <w:rsid w:val="004A43B9"/>
    <w:rsid w:val="004A4BE4"/>
    <w:rsid w:val="004B2772"/>
    <w:rsid w:val="004B2FE3"/>
    <w:rsid w:val="004B5DDA"/>
    <w:rsid w:val="004B6672"/>
    <w:rsid w:val="004C6188"/>
    <w:rsid w:val="004E6113"/>
    <w:rsid w:val="004F36EF"/>
    <w:rsid w:val="00532404"/>
    <w:rsid w:val="00533120"/>
    <w:rsid w:val="005431D4"/>
    <w:rsid w:val="00550B29"/>
    <w:rsid w:val="0055138A"/>
    <w:rsid w:val="005552EE"/>
    <w:rsid w:val="005617A6"/>
    <w:rsid w:val="005648A9"/>
    <w:rsid w:val="00565C12"/>
    <w:rsid w:val="00572F2A"/>
    <w:rsid w:val="005835DB"/>
    <w:rsid w:val="005A1D00"/>
    <w:rsid w:val="005A3DE6"/>
    <w:rsid w:val="005A4FB1"/>
    <w:rsid w:val="005A7550"/>
    <w:rsid w:val="005B0B00"/>
    <w:rsid w:val="005B32CE"/>
    <w:rsid w:val="005C161D"/>
    <w:rsid w:val="005D0C68"/>
    <w:rsid w:val="005E4E86"/>
    <w:rsid w:val="005E784C"/>
    <w:rsid w:val="005F0DBA"/>
    <w:rsid w:val="005F1006"/>
    <w:rsid w:val="005F46AF"/>
    <w:rsid w:val="005F7237"/>
    <w:rsid w:val="00602068"/>
    <w:rsid w:val="00604C79"/>
    <w:rsid w:val="00614DF2"/>
    <w:rsid w:val="006248FF"/>
    <w:rsid w:val="00633B68"/>
    <w:rsid w:val="00635B10"/>
    <w:rsid w:val="006370C5"/>
    <w:rsid w:val="00640A9A"/>
    <w:rsid w:val="00652B71"/>
    <w:rsid w:val="006562F0"/>
    <w:rsid w:val="00686B53"/>
    <w:rsid w:val="00690FF6"/>
    <w:rsid w:val="006963A0"/>
    <w:rsid w:val="006A11DD"/>
    <w:rsid w:val="006A65DC"/>
    <w:rsid w:val="006B24C4"/>
    <w:rsid w:val="006B50B0"/>
    <w:rsid w:val="006D23B2"/>
    <w:rsid w:val="006D42EE"/>
    <w:rsid w:val="006E0EFD"/>
    <w:rsid w:val="006E4143"/>
    <w:rsid w:val="006F6385"/>
    <w:rsid w:val="006F7F24"/>
    <w:rsid w:val="007040EA"/>
    <w:rsid w:val="00704276"/>
    <w:rsid w:val="00715A0F"/>
    <w:rsid w:val="00721661"/>
    <w:rsid w:val="00731A65"/>
    <w:rsid w:val="00744A54"/>
    <w:rsid w:val="00751140"/>
    <w:rsid w:val="00756456"/>
    <w:rsid w:val="00766F41"/>
    <w:rsid w:val="00784466"/>
    <w:rsid w:val="00787C8D"/>
    <w:rsid w:val="007913C5"/>
    <w:rsid w:val="007955F0"/>
    <w:rsid w:val="007B284F"/>
    <w:rsid w:val="007B3535"/>
    <w:rsid w:val="007B63AA"/>
    <w:rsid w:val="007C3AD6"/>
    <w:rsid w:val="007C5BE5"/>
    <w:rsid w:val="007E394E"/>
    <w:rsid w:val="007F6E6C"/>
    <w:rsid w:val="00806460"/>
    <w:rsid w:val="008076FB"/>
    <w:rsid w:val="00807E7B"/>
    <w:rsid w:val="00810B50"/>
    <w:rsid w:val="008206A7"/>
    <w:rsid w:val="00821AB2"/>
    <w:rsid w:val="00824873"/>
    <w:rsid w:val="008329B4"/>
    <w:rsid w:val="0083517C"/>
    <w:rsid w:val="008479A7"/>
    <w:rsid w:val="00853808"/>
    <w:rsid w:val="0085478F"/>
    <w:rsid w:val="00855C0B"/>
    <w:rsid w:val="00871104"/>
    <w:rsid w:val="00885DC9"/>
    <w:rsid w:val="008949EE"/>
    <w:rsid w:val="008960AA"/>
    <w:rsid w:val="00897009"/>
    <w:rsid w:val="008A088E"/>
    <w:rsid w:val="008A4213"/>
    <w:rsid w:val="008A4498"/>
    <w:rsid w:val="008B235B"/>
    <w:rsid w:val="008B53CD"/>
    <w:rsid w:val="008C0DBF"/>
    <w:rsid w:val="008C1742"/>
    <w:rsid w:val="008D0B07"/>
    <w:rsid w:val="008D1754"/>
    <w:rsid w:val="008D1DE1"/>
    <w:rsid w:val="008D2242"/>
    <w:rsid w:val="008E205F"/>
    <w:rsid w:val="008E78BC"/>
    <w:rsid w:val="008F1892"/>
    <w:rsid w:val="008F19BB"/>
    <w:rsid w:val="00904889"/>
    <w:rsid w:val="00907F70"/>
    <w:rsid w:val="00910DB8"/>
    <w:rsid w:val="0091128B"/>
    <w:rsid w:val="00912C65"/>
    <w:rsid w:val="009262D1"/>
    <w:rsid w:val="00953F68"/>
    <w:rsid w:val="009541C4"/>
    <w:rsid w:val="00954360"/>
    <w:rsid w:val="0095570E"/>
    <w:rsid w:val="00990609"/>
    <w:rsid w:val="00992AA5"/>
    <w:rsid w:val="009973EF"/>
    <w:rsid w:val="00997864"/>
    <w:rsid w:val="009A49DE"/>
    <w:rsid w:val="009B6749"/>
    <w:rsid w:val="009B6F2A"/>
    <w:rsid w:val="009C0ADF"/>
    <w:rsid w:val="009C0BC1"/>
    <w:rsid w:val="009C0F5B"/>
    <w:rsid w:val="009C4875"/>
    <w:rsid w:val="009C4A96"/>
    <w:rsid w:val="009D0CAA"/>
    <w:rsid w:val="009D0E57"/>
    <w:rsid w:val="009D14B4"/>
    <w:rsid w:val="009D4D61"/>
    <w:rsid w:val="009D6EC8"/>
    <w:rsid w:val="009E43E8"/>
    <w:rsid w:val="009E691E"/>
    <w:rsid w:val="009F1700"/>
    <w:rsid w:val="00A03E0A"/>
    <w:rsid w:val="00A11F2A"/>
    <w:rsid w:val="00A123F4"/>
    <w:rsid w:val="00A126DD"/>
    <w:rsid w:val="00A12D84"/>
    <w:rsid w:val="00A13F26"/>
    <w:rsid w:val="00A167CF"/>
    <w:rsid w:val="00A20CED"/>
    <w:rsid w:val="00A26577"/>
    <w:rsid w:val="00A36A82"/>
    <w:rsid w:val="00A40261"/>
    <w:rsid w:val="00A42E60"/>
    <w:rsid w:val="00A45A41"/>
    <w:rsid w:val="00A46C21"/>
    <w:rsid w:val="00A51BDA"/>
    <w:rsid w:val="00A55570"/>
    <w:rsid w:val="00A6472D"/>
    <w:rsid w:val="00A70B28"/>
    <w:rsid w:val="00A70DF7"/>
    <w:rsid w:val="00A7257F"/>
    <w:rsid w:val="00A73B75"/>
    <w:rsid w:val="00A90616"/>
    <w:rsid w:val="00A978B5"/>
    <w:rsid w:val="00AA0D19"/>
    <w:rsid w:val="00AA2DA7"/>
    <w:rsid w:val="00AA48E8"/>
    <w:rsid w:val="00AB3A4C"/>
    <w:rsid w:val="00AB5B20"/>
    <w:rsid w:val="00AC2C07"/>
    <w:rsid w:val="00AC2CDE"/>
    <w:rsid w:val="00AD0DFA"/>
    <w:rsid w:val="00AD3337"/>
    <w:rsid w:val="00AE062F"/>
    <w:rsid w:val="00AE7749"/>
    <w:rsid w:val="00AE7E99"/>
    <w:rsid w:val="00B07D15"/>
    <w:rsid w:val="00B56F23"/>
    <w:rsid w:val="00B66485"/>
    <w:rsid w:val="00B728BF"/>
    <w:rsid w:val="00B8369A"/>
    <w:rsid w:val="00B86A22"/>
    <w:rsid w:val="00B94BF0"/>
    <w:rsid w:val="00BC28A6"/>
    <w:rsid w:val="00BC5DC0"/>
    <w:rsid w:val="00BD7669"/>
    <w:rsid w:val="00BE5698"/>
    <w:rsid w:val="00BF4B70"/>
    <w:rsid w:val="00BF4C6D"/>
    <w:rsid w:val="00BF7474"/>
    <w:rsid w:val="00C02DAD"/>
    <w:rsid w:val="00C05768"/>
    <w:rsid w:val="00C16474"/>
    <w:rsid w:val="00C179E1"/>
    <w:rsid w:val="00C23125"/>
    <w:rsid w:val="00C2456E"/>
    <w:rsid w:val="00C603B0"/>
    <w:rsid w:val="00C648CC"/>
    <w:rsid w:val="00C660F0"/>
    <w:rsid w:val="00C71B5D"/>
    <w:rsid w:val="00C72BD9"/>
    <w:rsid w:val="00C72EC4"/>
    <w:rsid w:val="00C7524C"/>
    <w:rsid w:val="00C76302"/>
    <w:rsid w:val="00C81998"/>
    <w:rsid w:val="00C82CD3"/>
    <w:rsid w:val="00C844D9"/>
    <w:rsid w:val="00C85E92"/>
    <w:rsid w:val="00C901A1"/>
    <w:rsid w:val="00C91FD7"/>
    <w:rsid w:val="00C952E4"/>
    <w:rsid w:val="00CB3297"/>
    <w:rsid w:val="00CB3C47"/>
    <w:rsid w:val="00CB652D"/>
    <w:rsid w:val="00CC1C7E"/>
    <w:rsid w:val="00CD696E"/>
    <w:rsid w:val="00CE054F"/>
    <w:rsid w:val="00CE20AC"/>
    <w:rsid w:val="00D02E23"/>
    <w:rsid w:val="00D1084E"/>
    <w:rsid w:val="00D121DD"/>
    <w:rsid w:val="00D25619"/>
    <w:rsid w:val="00D31184"/>
    <w:rsid w:val="00D32CFB"/>
    <w:rsid w:val="00D330AE"/>
    <w:rsid w:val="00D35CE7"/>
    <w:rsid w:val="00D37B89"/>
    <w:rsid w:val="00D43FFE"/>
    <w:rsid w:val="00D45544"/>
    <w:rsid w:val="00D52CF9"/>
    <w:rsid w:val="00D674A0"/>
    <w:rsid w:val="00D7272C"/>
    <w:rsid w:val="00D80EE9"/>
    <w:rsid w:val="00DA0B9B"/>
    <w:rsid w:val="00DB0183"/>
    <w:rsid w:val="00DC7351"/>
    <w:rsid w:val="00DD3347"/>
    <w:rsid w:val="00DD38CC"/>
    <w:rsid w:val="00DE2B93"/>
    <w:rsid w:val="00E11F0B"/>
    <w:rsid w:val="00E14100"/>
    <w:rsid w:val="00E33204"/>
    <w:rsid w:val="00E3723F"/>
    <w:rsid w:val="00E40C78"/>
    <w:rsid w:val="00E41BE8"/>
    <w:rsid w:val="00E430C1"/>
    <w:rsid w:val="00E4377A"/>
    <w:rsid w:val="00E43954"/>
    <w:rsid w:val="00E444CE"/>
    <w:rsid w:val="00E47145"/>
    <w:rsid w:val="00E5279E"/>
    <w:rsid w:val="00E619C4"/>
    <w:rsid w:val="00E704D3"/>
    <w:rsid w:val="00E76C6A"/>
    <w:rsid w:val="00E76D57"/>
    <w:rsid w:val="00E823B1"/>
    <w:rsid w:val="00E83376"/>
    <w:rsid w:val="00E94A58"/>
    <w:rsid w:val="00E97242"/>
    <w:rsid w:val="00EA2B92"/>
    <w:rsid w:val="00EA655C"/>
    <w:rsid w:val="00EB10FB"/>
    <w:rsid w:val="00EB2238"/>
    <w:rsid w:val="00EB5831"/>
    <w:rsid w:val="00EC2C4A"/>
    <w:rsid w:val="00ED6004"/>
    <w:rsid w:val="00EE40C9"/>
    <w:rsid w:val="00F00CF4"/>
    <w:rsid w:val="00F10DBC"/>
    <w:rsid w:val="00F12D70"/>
    <w:rsid w:val="00F251B6"/>
    <w:rsid w:val="00F335CA"/>
    <w:rsid w:val="00F33E23"/>
    <w:rsid w:val="00F42198"/>
    <w:rsid w:val="00F42507"/>
    <w:rsid w:val="00F44017"/>
    <w:rsid w:val="00F53358"/>
    <w:rsid w:val="00F553D4"/>
    <w:rsid w:val="00F65005"/>
    <w:rsid w:val="00F70DE4"/>
    <w:rsid w:val="00F86D49"/>
    <w:rsid w:val="00F9232B"/>
    <w:rsid w:val="00F92864"/>
    <w:rsid w:val="00F96203"/>
    <w:rsid w:val="00F97C94"/>
    <w:rsid w:val="00FA10A7"/>
    <w:rsid w:val="00FA52B8"/>
    <w:rsid w:val="00FC2F19"/>
    <w:rsid w:val="00FD2EA7"/>
    <w:rsid w:val="00FE5D91"/>
    <w:rsid w:val="00FE63C8"/>
    <w:rsid w:val="00FF1689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142E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5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A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65"/>
    <w:rPr>
      <w:b/>
      <w:bCs/>
    </w:rPr>
  </w:style>
  <w:style w:type="paragraph" w:styleId="Revision">
    <w:name w:val="Revision"/>
    <w:hidden/>
    <w:uiPriority w:val="99"/>
    <w:semiHidden/>
    <w:rsid w:val="00C2456E"/>
    <w:rPr>
      <w:sz w:val="22"/>
      <w:szCs w:val="22"/>
    </w:rPr>
  </w:style>
  <w:style w:type="character" w:customStyle="1" w:styleId="ilfuvd">
    <w:name w:val="ilfuvd"/>
    <w:basedOn w:val="DefaultParagraphFont"/>
    <w:rsid w:val="00FE63C8"/>
  </w:style>
  <w:style w:type="character" w:styleId="Hyperlink">
    <w:name w:val="Hyperlink"/>
    <w:basedOn w:val="DefaultParagraphFont"/>
    <w:uiPriority w:val="99"/>
    <w:unhideWhenUsed/>
    <w:rsid w:val="00FA52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57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A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65"/>
    <w:rPr>
      <w:b/>
      <w:bCs/>
    </w:rPr>
  </w:style>
  <w:style w:type="paragraph" w:styleId="Revision">
    <w:name w:val="Revision"/>
    <w:hidden/>
    <w:uiPriority w:val="99"/>
    <w:semiHidden/>
    <w:rsid w:val="00C2456E"/>
    <w:rPr>
      <w:sz w:val="22"/>
      <w:szCs w:val="22"/>
    </w:rPr>
  </w:style>
  <w:style w:type="character" w:customStyle="1" w:styleId="ilfuvd">
    <w:name w:val="ilfuvd"/>
    <w:basedOn w:val="DefaultParagraphFont"/>
    <w:rsid w:val="00FE63C8"/>
  </w:style>
  <w:style w:type="character" w:styleId="Hyperlink">
    <w:name w:val="Hyperlink"/>
    <w:basedOn w:val="DefaultParagraphFont"/>
    <w:uiPriority w:val="99"/>
    <w:unhideWhenUsed/>
    <w:rsid w:val="00FA5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630A-2E7C-4ACE-AA50-66CCAC35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1113</Words>
  <Characters>6349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Elizabeth J Rumsey</cp:lastModifiedBy>
  <cp:revision>2</cp:revision>
  <cp:lastPrinted>2019-04-11T20:57:00Z</cp:lastPrinted>
  <dcterms:created xsi:type="dcterms:W3CDTF">2019-04-14T17:25:00Z</dcterms:created>
  <dcterms:modified xsi:type="dcterms:W3CDTF">2019-04-14T17:25:00Z</dcterms:modified>
</cp:coreProperties>
</file>