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533" w:rsidRDefault="00296533">
      <w:pPr>
        <w:pStyle w:val="normal0"/>
        <w:rPr>
          <w:b/>
        </w:rPr>
      </w:pPr>
      <w:bookmarkStart w:id="0" w:name="_GoBack"/>
      <w:bookmarkEnd w:id="0"/>
    </w:p>
    <w:p w:rsidR="00296533" w:rsidRDefault="00BF23AB">
      <w:pPr>
        <w:pStyle w:val="normal0"/>
        <w:rPr>
          <w:b/>
        </w:rPr>
      </w:pPr>
      <w:r>
        <w:rPr>
          <w:b/>
        </w:rPr>
        <w:t xml:space="preserve">PROJECT TITLE:  </w:t>
      </w:r>
      <w:r>
        <w:t>Minnesota Freshwater Quest: Environmental Education on State Waterways</w:t>
      </w:r>
    </w:p>
    <w:p w:rsidR="00296533" w:rsidRDefault="00296533">
      <w:pPr>
        <w:pStyle w:val="normal0"/>
        <w:rPr>
          <w:b/>
        </w:rPr>
      </w:pPr>
    </w:p>
    <w:p w:rsidR="00296533" w:rsidRDefault="00BF23AB">
      <w:pPr>
        <w:pStyle w:val="normal0"/>
        <w:rPr>
          <w:b/>
        </w:rPr>
      </w:pPr>
      <w:r>
        <w:rPr>
          <w:b/>
        </w:rPr>
        <w:t xml:space="preserve">PROJECT MANAGER QUALIFICATIONS – Julie </w:t>
      </w:r>
      <w:proofErr w:type="spellStart"/>
      <w:r>
        <w:rPr>
          <w:b/>
        </w:rPr>
        <w:t>Edmiston</w:t>
      </w:r>
      <w:proofErr w:type="spellEnd"/>
    </w:p>
    <w:p w:rsidR="00296533" w:rsidRDefault="00296533">
      <w:pPr>
        <w:pStyle w:val="normal0"/>
      </w:pPr>
    </w:p>
    <w:p w:rsidR="00296533" w:rsidRDefault="00BF23AB">
      <w:pPr>
        <w:pStyle w:val="normal0"/>
      </w:pPr>
      <w:r>
        <w:t xml:space="preserve">Julie </w:t>
      </w:r>
      <w:proofErr w:type="spellStart"/>
      <w:r>
        <w:t>Edmiston</w:t>
      </w:r>
      <w:proofErr w:type="spellEnd"/>
      <w:r>
        <w:t xml:space="preserve"> has been active in Wilderness Inquiry’s education programming and LCCMR projects through a variety of roles since 2008. Currently the Associate Executive Director, she has a background in education, business, nonprofit development, and progr</w:t>
      </w:r>
      <w:r>
        <w:t>am management.</w:t>
      </w:r>
    </w:p>
    <w:p w:rsidR="00296533" w:rsidRDefault="00296533">
      <w:pPr>
        <w:pStyle w:val="normal0"/>
      </w:pPr>
    </w:p>
    <w:p w:rsidR="00296533" w:rsidRDefault="00BF23AB">
      <w:pPr>
        <w:pStyle w:val="normal0"/>
      </w:pPr>
      <w:bookmarkStart w:id="1" w:name="_gjdgxs" w:colFirst="0" w:colLast="0"/>
      <w:bookmarkEnd w:id="1"/>
      <w:r>
        <w:t>As project manager, Julie will oversee the team that implements this project and ensure that Wilderness Inquiry delivers stated outcomes within the budget. Julie is familiar with the Freshwater Quest, avenues to connect with teachers and di</w:t>
      </w:r>
      <w:r>
        <w:t>stricts, and how to implement the program in a safe, effective, and cost-effective manner.</w:t>
      </w:r>
    </w:p>
    <w:p w:rsidR="00296533" w:rsidRDefault="00296533">
      <w:pPr>
        <w:pStyle w:val="normal0"/>
      </w:pPr>
    </w:p>
    <w:p w:rsidR="00296533" w:rsidRDefault="00BF23AB">
      <w:pPr>
        <w:pStyle w:val="normal0"/>
        <w:rPr>
          <w:b/>
        </w:rPr>
      </w:pPr>
      <w:r>
        <w:rPr>
          <w:b/>
        </w:rPr>
        <w:t>ORGANIZATION DESCRIPTION – Wilderness Inquiry (WI)</w:t>
      </w:r>
    </w:p>
    <w:p w:rsidR="00296533" w:rsidRDefault="00BF23AB">
      <w:pPr>
        <w:pStyle w:val="normal0"/>
        <w:spacing w:before="280" w:after="280"/>
        <w:ind w:right="-540"/>
      </w:pPr>
      <w:r>
        <w:rPr>
          <w:color w:val="000000"/>
        </w:rPr>
        <w:t xml:space="preserve">A non-profit organization based in the Twin Cities, WI has provided opportunities for outdoor recreation for our </w:t>
      </w:r>
      <w:r>
        <w:rPr>
          <w:color w:val="000000"/>
        </w:rPr>
        <w:t xml:space="preserve">most underserved and at-risk populations since 1978. WI serves more than </w:t>
      </w:r>
      <w:r>
        <w:t>40</w:t>
      </w:r>
      <w:r>
        <w:rPr>
          <w:color w:val="000000"/>
        </w:rPr>
        <w:t xml:space="preserve">,000 people annually on canoe, kayak, </w:t>
      </w:r>
      <w:proofErr w:type="spellStart"/>
      <w:r>
        <w:rPr>
          <w:color w:val="000000"/>
        </w:rPr>
        <w:t>horsepack</w:t>
      </w:r>
      <w:proofErr w:type="spellEnd"/>
      <w:r>
        <w:rPr>
          <w:color w:val="000000"/>
        </w:rPr>
        <w:t xml:space="preserve">, dogsled and hiking trips.  </w:t>
      </w:r>
      <w:r>
        <w:t>The</w:t>
      </w:r>
      <w:r>
        <w:t xml:space="preserve"> </w:t>
      </w:r>
      <w:proofErr w:type="spellStart"/>
      <w:r>
        <w:t>Canoemobile</w:t>
      </w:r>
      <w:proofErr w:type="spellEnd"/>
      <w:r>
        <w:t xml:space="preserve"> is WI’s youth program that connects thousands of Minnesota youth to their public lands an</w:t>
      </w:r>
      <w:r>
        <w:t xml:space="preserve">d natural resources through hands-on outdoor learning experiences.  The program works with federal, state, and local entities to engage youth – addressing the achievement gap and fostering the next generation of environmental stewards.  WI has </w:t>
      </w:r>
      <w:r>
        <w:t>18</w:t>
      </w:r>
      <w:r>
        <w:t xml:space="preserve"> full-time</w:t>
      </w:r>
      <w:r>
        <w:t xml:space="preserve"> and </w:t>
      </w:r>
      <w:r>
        <w:t>70</w:t>
      </w:r>
      <w:r>
        <w:t xml:space="preserve"> part-time staff.</w:t>
      </w:r>
    </w:p>
    <w:p w:rsidR="00296533" w:rsidRDefault="00296533">
      <w:pPr>
        <w:pStyle w:val="normal0"/>
        <w:spacing w:before="280" w:after="280"/>
        <w:ind w:right="-540"/>
      </w:pPr>
    </w:p>
    <w:p w:rsidR="00296533" w:rsidRDefault="00296533">
      <w:pPr>
        <w:pStyle w:val="normal0"/>
        <w:spacing w:before="280" w:after="280"/>
        <w:ind w:right="-540"/>
      </w:pPr>
    </w:p>
    <w:p w:rsidR="00296533" w:rsidRDefault="00296533">
      <w:pPr>
        <w:pStyle w:val="normal0"/>
        <w:spacing w:before="280" w:after="280"/>
        <w:ind w:right="-540"/>
      </w:pPr>
    </w:p>
    <w:p w:rsidR="00296533" w:rsidRDefault="00296533">
      <w:pPr>
        <w:pStyle w:val="normal0"/>
        <w:spacing w:before="280" w:after="280"/>
        <w:ind w:right="-540"/>
      </w:pPr>
    </w:p>
    <w:p w:rsidR="00296533" w:rsidRDefault="00296533">
      <w:pPr>
        <w:pStyle w:val="normal0"/>
        <w:spacing w:before="280" w:after="280"/>
        <w:ind w:right="-540"/>
      </w:pPr>
    </w:p>
    <w:p w:rsidR="00296533" w:rsidRDefault="00296533">
      <w:pPr>
        <w:pStyle w:val="normal0"/>
        <w:rPr>
          <w:rFonts w:ascii="Times New Roman" w:eastAsia="Times New Roman" w:hAnsi="Times New Roman" w:cs="Times New Roman"/>
          <w:b/>
        </w:rPr>
      </w:pPr>
    </w:p>
    <w:sectPr w:rsidR="00296533">
      <w:headerReference w:type="default" r:id="rId7"/>
      <w:footerReference w:type="default" r:id="rId8"/>
      <w:headerReference w:type="first" r:id="rId9"/>
      <w:footerReference w:type="first" r:id="rId10"/>
      <w:pgSz w:w="12240" w:h="15840"/>
      <w:pgMar w:top="1440" w:right="1080" w:bottom="1440" w:left="1080" w:header="648"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23AB">
      <w:r>
        <w:separator/>
      </w:r>
    </w:p>
  </w:endnote>
  <w:endnote w:type="continuationSeparator" w:id="0">
    <w:p w:rsidR="00000000" w:rsidRDefault="00BF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33" w:rsidRDefault="00BF23AB">
    <w:pPr>
      <w:pStyle w:val="normal0"/>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296533" w:rsidRDefault="00296533">
    <w:pPr>
      <w:pStyle w:val="normal0"/>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33" w:rsidRDefault="00BF23AB">
    <w:pPr>
      <w:pStyle w:val="normal0"/>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296533" w:rsidRDefault="00296533">
    <w:pPr>
      <w:pStyle w:val="normal0"/>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F23AB">
      <w:r>
        <w:separator/>
      </w:r>
    </w:p>
  </w:footnote>
  <w:footnote w:type="continuationSeparator" w:id="0">
    <w:p w:rsidR="00000000" w:rsidRDefault="00BF23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33" w:rsidRDefault="00296533">
    <w:pPr>
      <w:pStyle w:val="normal0"/>
      <w:widowControl w:val="0"/>
      <w:pBdr>
        <w:top w:val="nil"/>
        <w:left w:val="nil"/>
        <w:bottom w:val="nil"/>
        <w:right w:val="nil"/>
        <w:between w:val="nil"/>
      </w:pBdr>
      <w:spacing w:line="276" w:lineRule="auto"/>
      <w:rPr>
        <w:rFonts w:ascii="Times New Roman" w:eastAsia="Times New Roman" w:hAnsi="Times New Roman" w:cs="Times New Roman"/>
        <w:b/>
      </w:rPr>
    </w:pPr>
  </w:p>
  <w:tbl>
    <w:tblPr>
      <w:tblStyle w:val="a"/>
      <w:tblW w:w="10278" w:type="dxa"/>
      <w:tblLayout w:type="fixed"/>
      <w:tblLook w:val="0400" w:firstRow="0" w:lastRow="0" w:firstColumn="0" w:lastColumn="0" w:noHBand="0" w:noVBand="1"/>
    </w:tblPr>
    <w:tblGrid>
      <w:gridCol w:w="1278"/>
      <w:gridCol w:w="9000"/>
    </w:tblGrid>
    <w:tr w:rsidR="00296533">
      <w:tc>
        <w:tcPr>
          <w:tcW w:w="1278" w:type="dxa"/>
        </w:tcPr>
        <w:p w:rsidR="00296533" w:rsidRDefault="00BF23AB">
          <w:pPr>
            <w:pStyle w:val="normal0"/>
            <w:pBdr>
              <w:top w:val="nil"/>
              <w:left w:val="nil"/>
              <w:bottom w:val="nil"/>
              <w:right w:val="nil"/>
              <w:between w:val="nil"/>
            </w:pBdr>
            <w:tabs>
              <w:tab w:val="center" w:pos="4680"/>
              <w:tab w:val="right" w:pos="9360"/>
            </w:tabs>
            <w:rPr>
              <w:color w:val="000000"/>
            </w:rPr>
          </w:pPr>
          <w:r>
            <w:rPr>
              <w:noProof/>
              <w:color w:val="000000"/>
            </w:rPr>
            <w:drawing>
              <wp:inline distT="0" distB="0" distL="0" distR="0">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rsidR="00296533" w:rsidRDefault="00BF23AB">
          <w:pPr>
            <w:pStyle w:val="normal0"/>
            <w:rPr>
              <w:b/>
            </w:rPr>
          </w:pPr>
          <w:r>
            <w:rPr>
              <w:b/>
            </w:rPr>
            <w:t>Environment and Natural Resources Trust Fund (ENRTF)</w:t>
          </w:r>
        </w:p>
        <w:p w:rsidR="00296533" w:rsidRDefault="00296533">
          <w:pPr>
            <w:pStyle w:val="normal0"/>
            <w:pBdr>
              <w:top w:val="nil"/>
              <w:left w:val="nil"/>
              <w:bottom w:val="nil"/>
              <w:right w:val="nil"/>
              <w:between w:val="nil"/>
            </w:pBdr>
            <w:tabs>
              <w:tab w:val="center" w:pos="4680"/>
              <w:tab w:val="right" w:pos="9360"/>
            </w:tabs>
            <w:rPr>
              <w:color w:val="000000"/>
            </w:rPr>
          </w:pPr>
        </w:p>
      </w:tc>
    </w:tr>
  </w:tbl>
  <w:p w:rsidR="00296533" w:rsidRDefault="00296533">
    <w:pPr>
      <w:pStyle w:val="normal0"/>
      <w:pBdr>
        <w:top w:val="nil"/>
        <w:left w:val="nil"/>
        <w:bottom w:val="nil"/>
        <w:right w:val="nil"/>
        <w:between w:val="nil"/>
      </w:pBdr>
      <w:tabs>
        <w:tab w:val="center" w:pos="4680"/>
        <w:tab w:val="right" w:pos="9360"/>
      </w:tabs>
      <w:rPr>
        <w:color w:val="000000"/>
        <w:sz w:val="2"/>
        <w:szCs w:val="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533" w:rsidRDefault="00296533">
    <w:pPr>
      <w:pStyle w:val="normal0"/>
      <w:widowControl w:val="0"/>
      <w:pBdr>
        <w:top w:val="nil"/>
        <w:left w:val="nil"/>
        <w:bottom w:val="nil"/>
        <w:right w:val="nil"/>
        <w:between w:val="nil"/>
      </w:pBdr>
      <w:spacing w:line="276" w:lineRule="auto"/>
      <w:rPr>
        <w:color w:val="000000"/>
      </w:rPr>
    </w:pPr>
  </w:p>
  <w:tbl>
    <w:tblPr>
      <w:tblStyle w:val="a0"/>
      <w:tblW w:w="9576" w:type="dxa"/>
      <w:tblLayout w:type="fixed"/>
      <w:tblLook w:val="0400" w:firstRow="0" w:lastRow="0" w:firstColumn="0" w:lastColumn="0" w:noHBand="0" w:noVBand="1"/>
    </w:tblPr>
    <w:tblGrid>
      <w:gridCol w:w="1098"/>
      <w:gridCol w:w="8478"/>
    </w:tblGrid>
    <w:tr w:rsidR="00296533">
      <w:tc>
        <w:tcPr>
          <w:tcW w:w="1098" w:type="dxa"/>
        </w:tcPr>
        <w:p w:rsidR="00296533" w:rsidRDefault="00BF23AB">
          <w:pPr>
            <w:pStyle w:val="normal0"/>
            <w:pBdr>
              <w:top w:val="nil"/>
              <w:left w:val="nil"/>
              <w:bottom w:val="nil"/>
              <w:right w:val="nil"/>
              <w:between w:val="nil"/>
            </w:pBdr>
            <w:tabs>
              <w:tab w:val="center" w:pos="4680"/>
              <w:tab w:val="right" w:pos="9360"/>
            </w:tabs>
            <w:rPr>
              <w:color w:val="000000"/>
            </w:rPr>
          </w:pPr>
          <w:r>
            <w:rPr>
              <w:noProof/>
              <w:color w:val="000000"/>
            </w:rPr>
            <w:drawing>
              <wp:inline distT="0" distB="0" distL="0" distR="0">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8478" w:type="dxa"/>
        </w:tcPr>
        <w:p w:rsidR="00296533" w:rsidRDefault="00BF23AB">
          <w:pPr>
            <w:pStyle w:val="normal0"/>
            <w:rPr>
              <w:b/>
            </w:rPr>
          </w:pPr>
          <w:r>
            <w:rPr>
              <w:b/>
            </w:rPr>
            <w:t>Environment and Natural Resources Trust Fund (ENRTF)</w:t>
          </w:r>
        </w:p>
        <w:p w:rsidR="00296533" w:rsidRDefault="00BF23AB">
          <w:pPr>
            <w:pStyle w:val="normal0"/>
            <w:pBdr>
              <w:top w:val="nil"/>
              <w:left w:val="nil"/>
              <w:bottom w:val="nil"/>
              <w:right w:val="nil"/>
              <w:between w:val="nil"/>
            </w:pBdr>
            <w:tabs>
              <w:tab w:val="center" w:pos="4680"/>
              <w:tab w:val="right" w:pos="9360"/>
            </w:tabs>
            <w:rPr>
              <w:b/>
              <w:color w:val="000000"/>
            </w:rPr>
          </w:pPr>
          <w:r>
            <w:rPr>
              <w:b/>
              <w:color w:val="000000"/>
            </w:rPr>
            <w:t>2014 Main Proposal</w:t>
          </w:r>
        </w:p>
        <w:p w:rsidR="00296533" w:rsidRDefault="00BF23AB">
          <w:pPr>
            <w:pStyle w:val="normal0"/>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rsidR="00296533" w:rsidRDefault="00296533">
    <w:pPr>
      <w:pStyle w:val="normal0"/>
      <w:pBdr>
        <w:top w:val="nil"/>
        <w:left w:val="nil"/>
        <w:bottom w:val="nil"/>
        <w:right w:val="nil"/>
        <w:between w:val="nil"/>
      </w:pBdr>
      <w:tabs>
        <w:tab w:val="center" w:pos="4680"/>
        <w:tab w:val="right" w:pos="9360"/>
      </w:tabs>
      <w:rPr>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96533"/>
    <w:rsid w:val="00296533"/>
    <w:rsid w:val="00B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F23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23A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F23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23A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1233</Characters>
  <Application>Microsoft Macintosh Word</Application>
  <DocSecurity>0</DocSecurity>
  <Lines>10</Lines>
  <Paragraphs>2</Paragraphs>
  <ScaleCrop>false</ScaleCrop>
  <Company>Wilderness Inquiry</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Storck</cp:lastModifiedBy>
  <cp:revision>2</cp:revision>
  <dcterms:created xsi:type="dcterms:W3CDTF">2019-04-15T13:57:00Z</dcterms:created>
  <dcterms:modified xsi:type="dcterms:W3CDTF">2019-04-15T13:57:00Z</dcterms:modified>
</cp:coreProperties>
</file>