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40"/>
        </w:tabs>
        <w:bidi w:val="0"/>
        <w:ind w:left="54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In 2018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,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 xml:space="preserve"> Michelle Overholser started with the YMRWD as the Administrator. She is responsible for the all the daily activities of the District, including but not limited to, Administrative duties, fin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ancial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 xml:space="preserve"> activities and reporting, and technical support for District activities. Ms. Overholser is also currently the facilitator, daily contact, and f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isca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l agent for the Yellow Medicine One Watershed One Plan. Ms. Overholser has a working knowledge of ArcGIS and various watershed modeling programs such as SAMs, PTMapp and ACPF, which will aid in overseeing the modeling simulations proposed in this project.</w:t>
      </w:r>
    </w:p>
    <w:p>
      <w:pPr>
        <w:pStyle w:val="Default"/>
        <w:tabs>
          <w:tab w:val="left" w:pos="540"/>
        </w:tabs>
        <w:bidi w:val="0"/>
        <w:ind w:left="54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</w:pPr>
    </w:p>
    <w:p>
      <w:pPr>
        <w:pStyle w:val="Default"/>
        <w:tabs>
          <w:tab w:val="left" w:pos="540"/>
        </w:tabs>
        <w:bidi w:val="0"/>
        <w:ind w:left="540" w:right="0" w:firstLine="0"/>
        <w:jc w:val="left"/>
        <w:rPr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As the Yellow Medicine River Watershed District</w:t>
      </w:r>
      <w:r>
        <w:rPr>
          <w:rFonts w:ascii="Calibri" w:cs="Calibri" w:hAnsi="Calibri" w:eastAsia="Calibri" w:hint="default"/>
          <w:b w:val="1"/>
          <w:bCs w:val="1"/>
          <w:u w:color="000000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s representative, Michelle Overholser would act as the project manager. The Yellow Medicine River Watershed District is a local unit of government established in 1971 through a petition of its residents to the MN Board of Water and Soil Resources. The jurisdiction covers 685 square miles, located within four coun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ties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 xml:space="preserve"> in Southwest Minnesota, that drain to the Yellow Medicine River. In December of 2016, the Yellow Medicine River had one of the first One Watershed One Plan</w:t>
      </w:r>
      <w:r>
        <w:rPr>
          <w:rFonts w:ascii="Calibri" w:cs="Calibri" w:hAnsi="Calibri" w:eastAsia="Calibri" w:hint="default"/>
          <w:b w:val="1"/>
          <w:bCs w:val="1"/>
          <w:u w:color="000000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s approved and adopted. In 2014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 xml:space="preserve">, 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the District completed a full terrain analysis, culvert inventory and hydro conditioning of the D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 xml:space="preserve">igital 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E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 xml:space="preserve">levation 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M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odel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. This is work that has been completed through previous project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s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 xml:space="preserve"> that will greatly benefit the completion of this project.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