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9C508" w14:textId="77777777" w:rsidR="00165D34" w:rsidRDefault="00207CC0">
      <w:pPr>
        <w:ind w:left="53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CB8C21" wp14:editId="47CBA175">
            <wp:simplePos x="0" y="0"/>
            <wp:positionH relativeFrom="column">
              <wp:posOffset>68580</wp:posOffset>
            </wp:positionH>
            <wp:positionV relativeFrom="paragraph">
              <wp:posOffset>-27431</wp:posOffset>
            </wp:positionV>
            <wp:extent cx="669925" cy="478155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 w:val="0"/>
        </w:rPr>
        <w:t xml:space="preserve">Environment and Natural Resources Trust Fund (ENRTF) </w:t>
      </w:r>
    </w:p>
    <w:p w14:paraId="5568AFF4" w14:textId="77777777" w:rsidR="00165D34" w:rsidRDefault="00207CC0">
      <w:pPr>
        <w:spacing w:after="42"/>
        <w:ind w:left="535"/>
      </w:pPr>
      <w:r>
        <w:rPr>
          <w:b/>
          <w:i w:val="0"/>
        </w:rPr>
        <w:t xml:space="preserve">2020 Main Proposal INSTRUCTIONS </w:t>
      </w:r>
    </w:p>
    <w:p w14:paraId="2C32FAC9" w14:textId="77777777" w:rsidR="00165D34" w:rsidRDefault="00207CC0">
      <w:pPr>
        <w:spacing w:after="0" w:line="259" w:lineRule="auto"/>
        <w:ind w:left="0" w:firstLine="0"/>
      </w:pPr>
      <w:r>
        <w:rPr>
          <w:i w:val="0"/>
          <w:sz w:val="2"/>
        </w:rPr>
        <w:t xml:space="preserve"> </w:t>
      </w:r>
      <w:r>
        <w:rPr>
          <w:i w:val="0"/>
          <w:sz w:val="2"/>
        </w:rPr>
        <w:tab/>
      </w: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p w14:paraId="3ACBAE03" w14:textId="1551B2B3" w:rsidR="00165D34" w:rsidRDefault="00165D34">
      <w:pPr>
        <w:spacing w:after="0" w:line="259" w:lineRule="auto"/>
        <w:ind w:left="88" w:firstLine="0"/>
        <w:jc w:val="center"/>
      </w:pPr>
    </w:p>
    <w:p w14:paraId="32DF7D63" w14:textId="1C438462" w:rsidR="00165D34" w:rsidRDefault="00207CC0">
      <w:r>
        <w:rPr>
          <w:b/>
          <w:i w:val="0"/>
        </w:rPr>
        <w:t>PROJECT TITLE:</w:t>
      </w:r>
      <w:r>
        <w:t xml:space="preserve"> </w:t>
      </w:r>
      <w:r w:rsidR="00FC4469">
        <w:rPr>
          <w:b/>
          <w:i w:val="0"/>
        </w:rPr>
        <w:t>Increased sample capa</w:t>
      </w:r>
      <w:r w:rsidR="00C51281">
        <w:rPr>
          <w:b/>
          <w:i w:val="0"/>
        </w:rPr>
        <w:t>city for analysis of pesticides</w:t>
      </w:r>
    </w:p>
    <w:p w14:paraId="42D9FFB4" w14:textId="77777777" w:rsidR="00165D34" w:rsidRDefault="00207CC0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403373D5" w14:textId="77777777" w:rsidR="00165D34" w:rsidRDefault="00207CC0">
      <w:pPr>
        <w:numPr>
          <w:ilvl w:val="0"/>
          <w:numId w:val="1"/>
        </w:numPr>
        <w:ind w:hanging="227"/>
      </w:pPr>
      <w:r>
        <w:rPr>
          <w:b/>
          <w:i w:val="0"/>
        </w:rPr>
        <w:t>PROJECT STATEMENT</w:t>
      </w:r>
      <w:r>
        <w:rPr>
          <w:i w:val="0"/>
        </w:rPr>
        <w:t xml:space="preserve"> </w:t>
      </w:r>
    </w:p>
    <w:p w14:paraId="70D64E7C" w14:textId="4769400A" w:rsidR="00FC4469" w:rsidRDefault="00910077" w:rsidP="00FC4469">
      <w:pPr>
        <w:spacing w:after="0" w:line="259" w:lineRule="auto"/>
        <w:ind w:left="0" w:firstLine="0"/>
        <w:rPr>
          <w:i w:val="0"/>
        </w:rPr>
      </w:pPr>
      <w:r w:rsidRPr="00EF040A">
        <w:rPr>
          <w:i w:val="0"/>
        </w:rPr>
        <w:t>The Minnesota Department of Agriculture</w:t>
      </w:r>
      <w:r w:rsidR="003C19F6">
        <w:rPr>
          <w:i w:val="0"/>
        </w:rPr>
        <w:t xml:space="preserve"> (MDA)</w:t>
      </w:r>
      <w:r w:rsidRPr="00EF040A">
        <w:rPr>
          <w:i w:val="0"/>
        </w:rPr>
        <w:t xml:space="preserve"> is responsible for monitoring </w:t>
      </w:r>
      <w:r w:rsidR="00CB5816" w:rsidRPr="00EF040A">
        <w:rPr>
          <w:i w:val="0"/>
        </w:rPr>
        <w:t xml:space="preserve">and investigating </w:t>
      </w:r>
      <w:r w:rsidRPr="00EF040A">
        <w:rPr>
          <w:i w:val="0"/>
        </w:rPr>
        <w:t>pesticides</w:t>
      </w:r>
      <w:r w:rsidR="00CB5816" w:rsidRPr="00EF040A">
        <w:rPr>
          <w:i w:val="0"/>
        </w:rPr>
        <w:t xml:space="preserve"> that </w:t>
      </w:r>
      <w:r w:rsidR="005A0018" w:rsidRPr="00EF040A">
        <w:rPr>
          <w:i w:val="0"/>
        </w:rPr>
        <w:t xml:space="preserve">may </w:t>
      </w:r>
      <w:r w:rsidR="00CB5816" w:rsidRPr="00EF040A">
        <w:rPr>
          <w:i w:val="0"/>
        </w:rPr>
        <w:t xml:space="preserve">threaten </w:t>
      </w:r>
      <w:r w:rsidRPr="00EF040A">
        <w:rPr>
          <w:i w:val="0"/>
        </w:rPr>
        <w:t xml:space="preserve">Minnesota’s water resources. </w:t>
      </w:r>
      <w:r w:rsidR="005F7569" w:rsidRPr="00EF040A">
        <w:rPr>
          <w:i w:val="0"/>
        </w:rPr>
        <w:t xml:space="preserve">This project will provide </w:t>
      </w:r>
      <w:r w:rsidR="00B04463" w:rsidRPr="00EF040A">
        <w:rPr>
          <w:i w:val="0"/>
        </w:rPr>
        <w:t>funding</w:t>
      </w:r>
      <w:r w:rsidR="005F7569" w:rsidRPr="00EF040A">
        <w:rPr>
          <w:i w:val="0"/>
        </w:rPr>
        <w:t xml:space="preserve"> for the MDA Laboratory Services Division (MDA Lab) to acquire the </w:t>
      </w:r>
      <w:r w:rsidR="00365FC1">
        <w:rPr>
          <w:i w:val="0"/>
        </w:rPr>
        <w:t xml:space="preserve">most technologically advanced </w:t>
      </w:r>
      <w:r w:rsidR="00365FC1" w:rsidRPr="00EF040A">
        <w:rPr>
          <w:i w:val="0"/>
        </w:rPr>
        <w:t>instrumentation</w:t>
      </w:r>
      <w:r w:rsidR="005F7569" w:rsidRPr="00EF040A">
        <w:rPr>
          <w:i w:val="0"/>
        </w:rPr>
        <w:t xml:space="preserve"> for the analysis of pesticides in water samples. </w:t>
      </w:r>
      <w:r w:rsidR="00FC4469" w:rsidRPr="00EF040A">
        <w:rPr>
          <w:i w:val="0"/>
        </w:rPr>
        <w:t>When fully operational</w:t>
      </w:r>
      <w:r w:rsidR="00871EDC">
        <w:rPr>
          <w:i w:val="0"/>
        </w:rPr>
        <w:t xml:space="preserve"> with two machines (the </w:t>
      </w:r>
      <w:r w:rsidR="000C7AFB">
        <w:rPr>
          <w:i w:val="0"/>
        </w:rPr>
        <w:t xml:space="preserve">second </w:t>
      </w:r>
      <w:r w:rsidR="00871EDC">
        <w:rPr>
          <w:i w:val="0"/>
        </w:rPr>
        <w:t>machine secured using other funding</w:t>
      </w:r>
      <w:r w:rsidR="000C7AFB">
        <w:rPr>
          <w:i w:val="0"/>
        </w:rPr>
        <w:t xml:space="preserve"> sources)</w:t>
      </w:r>
      <w:r w:rsidR="00FC4469" w:rsidRPr="00EF040A">
        <w:rPr>
          <w:i w:val="0"/>
        </w:rPr>
        <w:t xml:space="preserve">, this </w:t>
      </w:r>
      <w:r w:rsidR="000C7AFB">
        <w:rPr>
          <w:i w:val="0"/>
        </w:rPr>
        <w:t xml:space="preserve">new </w:t>
      </w:r>
      <w:r w:rsidR="00FC4469" w:rsidRPr="00EF040A">
        <w:rPr>
          <w:i w:val="0"/>
        </w:rPr>
        <w:t xml:space="preserve">methodology is anticipated to expand the capacity of the MDA Lab to analyze more samples </w:t>
      </w:r>
      <w:r w:rsidR="00FC4469">
        <w:rPr>
          <w:i w:val="0"/>
        </w:rPr>
        <w:t xml:space="preserve">(up to </w:t>
      </w:r>
      <w:r w:rsidR="00A1041A" w:rsidRPr="00871EDC">
        <w:rPr>
          <w:i w:val="0"/>
        </w:rPr>
        <w:t>267</w:t>
      </w:r>
      <w:r w:rsidR="00A1041A">
        <w:rPr>
          <w:i w:val="0"/>
        </w:rPr>
        <w:t xml:space="preserve"> </w:t>
      </w:r>
      <w:r w:rsidR="00FC4469">
        <w:rPr>
          <w:i w:val="0"/>
        </w:rPr>
        <w:t xml:space="preserve">additional samples </w:t>
      </w:r>
      <w:r w:rsidR="00D33717">
        <w:rPr>
          <w:i w:val="0"/>
        </w:rPr>
        <w:t>per</w:t>
      </w:r>
      <w:r w:rsidR="00FC4469">
        <w:rPr>
          <w:i w:val="0"/>
        </w:rPr>
        <w:t xml:space="preserve"> year</w:t>
      </w:r>
      <w:r w:rsidR="00FC4C39">
        <w:rPr>
          <w:i w:val="0"/>
        </w:rPr>
        <w:t xml:space="preserve"> when fully functional</w:t>
      </w:r>
      <w:r w:rsidR="00AC2991">
        <w:rPr>
          <w:i w:val="0"/>
        </w:rPr>
        <w:t xml:space="preserve"> with both instruments</w:t>
      </w:r>
      <w:r w:rsidR="00FC4469">
        <w:rPr>
          <w:i w:val="0"/>
        </w:rPr>
        <w:t xml:space="preserve">) and analyze </w:t>
      </w:r>
      <w:r w:rsidR="00FC4469" w:rsidRPr="00EF040A">
        <w:rPr>
          <w:i w:val="0"/>
        </w:rPr>
        <w:t>for more pesticides</w:t>
      </w:r>
      <w:r w:rsidR="00FC4469">
        <w:rPr>
          <w:i w:val="0"/>
        </w:rPr>
        <w:t xml:space="preserve"> in each water sample</w:t>
      </w:r>
      <w:r w:rsidR="00FC4469" w:rsidRPr="00EF040A">
        <w:rPr>
          <w:i w:val="0"/>
        </w:rPr>
        <w:t>.</w:t>
      </w:r>
      <w:r w:rsidR="00FC4469">
        <w:rPr>
          <w:i w:val="0"/>
        </w:rPr>
        <w:t xml:space="preserve"> </w:t>
      </w:r>
      <w:r w:rsidR="00E306D4">
        <w:rPr>
          <w:i w:val="0"/>
        </w:rPr>
        <w:t xml:space="preserve">This method includes the </w:t>
      </w:r>
      <w:r w:rsidR="00FC4469" w:rsidRPr="00840F1A">
        <w:rPr>
          <w:i w:val="0"/>
        </w:rPr>
        <w:t xml:space="preserve">neonicotinoid pesticides </w:t>
      </w:r>
      <w:r w:rsidR="00FC4469">
        <w:rPr>
          <w:i w:val="0"/>
        </w:rPr>
        <w:t>(including imidacloprid and its two breakdown products imidacloprid-olefin and imidacloprid-urea)</w:t>
      </w:r>
      <w:r w:rsidR="000132C6">
        <w:rPr>
          <w:i w:val="0"/>
        </w:rPr>
        <w:t>.</w:t>
      </w:r>
      <w:r w:rsidR="00FC4469" w:rsidRPr="00840F1A">
        <w:rPr>
          <w:i w:val="0"/>
        </w:rPr>
        <w:t xml:space="preserve"> </w:t>
      </w:r>
      <w:r w:rsidR="00FC4469">
        <w:rPr>
          <w:i w:val="0"/>
        </w:rPr>
        <w:t>T</w:t>
      </w:r>
      <w:r w:rsidR="00FC4469" w:rsidRPr="00840F1A">
        <w:rPr>
          <w:i w:val="0"/>
        </w:rPr>
        <w:t xml:space="preserve">he </w:t>
      </w:r>
      <w:r w:rsidR="00E306D4">
        <w:rPr>
          <w:i w:val="0"/>
        </w:rPr>
        <w:t>increased sample capacity will provide additional information about the presence of pesticides</w:t>
      </w:r>
      <w:r w:rsidR="00FC4469" w:rsidRPr="00840F1A">
        <w:rPr>
          <w:i w:val="0"/>
        </w:rPr>
        <w:t xml:space="preserve"> </w:t>
      </w:r>
      <w:r w:rsidR="00724283">
        <w:rPr>
          <w:i w:val="0"/>
        </w:rPr>
        <w:t xml:space="preserve">(such as breakdown products of atrazine, acetochlor, </w:t>
      </w:r>
      <w:r w:rsidR="00207051">
        <w:rPr>
          <w:i w:val="0"/>
        </w:rPr>
        <w:t>chlorpyrifos</w:t>
      </w:r>
      <w:r w:rsidR="00724283">
        <w:rPr>
          <w:i w:val="0"/>
        </w:rPr>
        <w:t xml:space="preserve">, metolachlor and many others) </w:t>
      </w:r>
      <w:r w:rsidR="00E306D4">
        <w:rPr>
          <w:i w:val="0"/>
        </w:rPr>
        <w:t>i</w:t>
      </w:r>
      <w:r w:rsidR="00FC4469">
        <w:rPr>
          <w:i w:val="0"/>
        </w:rPr>
        <w:t xml:space="preserve">n </w:t>
      </w:r>
      <w:r w:rsidR="00E306D4">
        <w:rPr>
          <w:i w:val="0"/>
        </w:rPr>
        <w:t>groundwater and surface water in Minnesota</w:t>
      </w:r>
      <w:r w:rsidR="00FC4469">
        <w:rPr>
          <w:i w:val="0"/>
        </w:rPr>
        <w:t>.</w:t>
      </w:r>
    </w:p>
    <w:p w14:paraId="0C75390E" w14:textId="77777777" w:rsidR="00207051" w:rsidRDefault="00207051" w:rsidP="00930477">
      <w:pPr>
        <w:spacing w:after="0" w:line="259" w:lineRule="auto"/>
        <w:ind w:left="0" w:firstLine="0"/>
        <w:rPr>
          <w:b/>
          <w:i w:val="0"/>
        </w:rPr>
      </w:pPr>
    </w:p>
    <w:p w14:paraId="387735D2" w14:textId="1423AD21" w:rsidR="00930477" w:rsidRDefault="001134D0" w:rsidP="00930477">
      <w:pPr>
        <w:spacing w:after="0" w:line="259" w:lineRule="auto"/>
        <w:ind w:left="0" w:firstLine="0"/>
      </w:pPr>
      <w:r>
        <w:rPr>
          <w:b/>
          <w:i w:val="0"/>
        </w:rPr>
        <w:t>ACTIVITY 1</w:t>
      </w:r>
      <w:r w:rsidR="00A83FC2">
        <w:rPr>
          <w:b/>
          <w:i w:val="0"/>
        </w:rPr>
        <w:t xml:space="preserve">: </w:t>
      </w:r>
      <w:r w:rsidR="00DE642D" w:rsidRPr="00B509FF">
        <w:rPr>
          <w:b/>
          <w:i w:val="0"/>
        </w:rPr>
        <w:t xml:space="preserve">Purchase of </w:t>
      </w:r>
      <w:r w:rsidR="00724283">
        <w:rPr>
          <w:b/>
          <w:i w:val="0"/>
        </w:rPr>
        <w:t>instrument to increase sample capacity and numbe</w:t>
      </w:r>
      <w:r w:rsidR="00A83FC2">
        <w:rPr>
          <w:b/>
          <w:i w:val="0"/>
        </w:rPr>
        <w:t>r of pesticides analyzed.</w:t>
      </w:r>
    </w:p>
    <w:p w14:paraId="73EC479D" w14:textId="13D1D5CC" w:rsidR="00082013" w:rsidRDefault="00724283" w:rsidP="00082013">
      <w:pPr>
        <w:spacing w:after="0" w:line="259" w:lineRule="auto"/>
        <w:ind w:left="0" w:firstLine="0"/>
        <w:rPr>
          <w:i w:val="0"/>
        </w:rPr>
      </w:pPr>
      <w:r>
        <w:rPr>
          <w:i w:val="0"/>
        </w:rPr>
        <w:t>T</w:t>
      </w:r>
      <w:r w:rsidR="00794802">
        <w:rPr>
          <w:i w:val="0"/>
        </w:rPr>
        <w:t>he</w:t>
      </w:r>
      <w:r w:rsidR="0018018C" w:rsidRPr="00794802">
        <w:rPr>
          <w:i w:val="0"/>
        </w:rPr>
        <w:t xml:space="preserve"> MDA Lab will </w:t>
      </w:r>
      <w:r w:rsidR="00ED5C59" w:rsidRPr="00794802">
        <w:rPr>
          <w:i w:val="0"/>
        </w:rPr>
        <w:t>solicit</w:t>
      </w:r>
      <w:r w:rsidR="00B509FF" w:rsidRPr="00794802">
        <w:rPr>
          <w:i w:val="0"/>
        </w:rPr>
        <w:t xml:space="preserve"> bids for the purchase of</w:t>
      </w:r>
      <w:r w:rsidR="0018018C" w:rsidRPr="00794802">
        <w:rPr>
          <w:i w:val="0"/>
        </w:rPr>
        <w:t xml:space="preserve"> the LC-MS/MS </w:t>
      </w:r>
      <w:r w:rsidR="00FC51EA" w:rsidRPr="00794802">
        <w:rPr>
          <w:i w:val="0"/>
        </w:rPr>
        <w:t xml:space="preserve">direct inject </w:t>
      </w:r>
      <w:r w:rsidR="0018018C" w:rsidRPr="00794802">
        <w:rPr>
          <w:i w:val="0"/>
        </w:rPr>
        <w:t xml:space="preserve">instrument using the state procurement process to ensure maximum features and quality for the available funding. </w:t>
      </w:r>
      <w:r w:rsidR="000F1159" w:rsidRPr="00B8060A">
        <w:rPr>
          <w:i w:val="0"/>
        </w:rPr>
        <w:t>A five year service warranty</w:t>
      </w:r>
      <w:r>
        <w:rPr>
          <w:i w:val="0"/>
        </w:rPr>
        <w:t>, purchased upfront at a large discount,</w:t>
      </w:r>
      <w:r w:rsidR="000F1159" w:rsidRPr="00B8060A">
        <w:rPr>
          <w:i w:val="0"/>
        </w:rPr>
        <w:t xml:space="preserve"> would be included with the instrument purchase</w:t>
      </w:r>
      <w:r w:rsidR="007865A6" w:rsidRPr="00B8060A">
        <w:rPr>
          <w:i w:val="0"/>
        </w:rPr>
        <w:t xml:space="preserve"> and is listed separately </w:t>
      </w:r>
      <w:r w:rsidR="00871EDC">
        <w:rPr>
          <w:i w:val="0"/>
        </w:rPr>
        <w:t>o</w:t>
      </w:r>
      <w:r w:rsidR="007865A6" w:rsidRPr="00B8060A">
        <w:rPr>
          <w:i w:val="0"/>
        </w:rPr>
        <w:t xml:space="preserve">n the budget spreadsheet. </w:t>
      </w:r>
      <w:r w:rsidR="003C362C" w:rsidRPr="00871EDC">
        <w:rPr>
          <w:i w:val="0"/>
        </w:rPr>
        <w:t>One Environmental Analyst FTE</w:t>
      </w:r>
      <w:r w:rsidR="003C362C">
        <w:rPr>
          <w:i w:val="0"/>
        </w:rPr>
        <w:t xml:space="preserve"> (unclassified) is proposed to assist the MDA Lab during </w:t>
      </w:r>
      <w:r w:rsidR="00A83FC2">
        <w:rPr>
          <w:i w:val="0"/>
        </w:rPr>
        <w:t xml:space="preserve">the </w:t>
      </w:r>
      <w:r w:rsidR="000C7AFB">
        <w:rPr>
          <w:i w:val="0"/>
        </w:rPr>
        <w:t xml:space="preserve">one year </w:t>
      </w:r>
      <w:r w:rsidR="00A83FC2">
        <w:rPr>
          <w:i w:val="0"/>
        </w:rPr>
        <w:t>method development process.</w:t>
      </w:r>
      <w:r w:rsidR="00082013">
        <w:rPr>
          <w:i w:val="0"/>
        </w:rPr>
        <w:t xml:space="preserve"> It is anticipated that the new instrument and method will:</w:t>
      </w:r>
    </w:p>
    <w:p w14:paraId="189F99DE" w14:textId="77777777" w:rsidR="00082013" w:rsidRDefault="00082013" w:rsidP="00082013">
      <w:pPr>
        <w:pStyle w:val="ListParagraph"/>
        <w:numPr>
          <w:ilvl w:val="0"/>
          <w:numId w:val="6"/>
        </w:numPr>
        <w:spacing w:after="0"/>
      </w:pPr>
      <w:r w:rsidRPr="003C362C">
        <w:t xml:space="preserve">Eliminate the lengthy extraction times for the current MDA LC-MS/MS method, improving </w:t>
      </w:r>
      <w:r>
        <w:t xml:space="preserve">efficiency and reducing costs; </w:t>
      </w:r>
    </w:p>
    <w:p w14:paraId="122D5134" w14:textId="77777777" w:rsidR="00082013" w:rsidRDefault="00082013" w:rsidP="00082013">
      <w:pPr>
        <w:pStyle w:val="ListParagraph"/>
        <w:numPr>
          <w:ilvl w:val="0"/>
          <w:numId w:val="6"/>
        </w:numPr>
        <w:spacing w:after="0"/>
      </w:pPr>
      <w:r w:rsidRPr="005171FB">
        <w:t>Require smaller sample volume from the current 1 liter to 20-30 milliliters, saving co</w:t>
      </w:r>
      <w:r>
        <w:t>sts on bottles and shipping;</w:t>
      </w:r>
    </w:p>
    <w:p w14:paraId="5A4C7951" w14:textId="17236ACD" w:rsidR="00082013" w:rsidRDefault="00082013" w:rsidP="00082013">
      <w:pPr>
        <w:pStyle w:val="ListParagraph"/>
        <w:numPr>
          <w:ilvl w:val="0"/>
          <w:numId w:val="6"/>
        </w:numPr>
        <w:spacing w:after="0"/>
      </w:pPr>
      <w:r w:rsidRPr="005171FB">
        <w:t>Improv</w:t>
      </w:r>
      <w:r w:rsidR="00B35AE4">
        <w:t xml:space="preserve">e </w:t>
      </w:r>
      <w:r w:rsidR="00E306D4">
        <w:t xml:space="preserve">method </w:t>
      </w:r>
      <w:r w:rsidR="00B35AE4">
        <w:t>efficiency</w:t>
      </w:r>
      <w:r w:rsidRPr="005171FB">
        <w:t xml:space="preserve"> by reducing pesticide loss that </w:t>
      </w:r>
      <w:r>
        <w:t>can occur during extraction</w:t>
      </w:r>
      <w:r w:rsidR="00B35AE4">
        <w:t xml:space="preserve"> process</w:t>
      </w:r>
      <w:r>
        <w:t>;</w:t>
      </w:r>
    </w:p>
    <w:p w14:paraId="02D28EF9" w14:textId="0CC96029" w:rsidR="00082013" w:rsidRDefault="00082013" w:rsidP="00082013">
      <w:pPr>
        <w:pStyle w:val="ListParagraph"/>
        <w:numPr>
          <w:ilvl w:val="0"/>
          <w:numId w:val="6"/>
        </w:numPr>
        <w:spacing w:after="0"/>
      </w:pPr>
      <w:r w:rsidRPr="005171FB">
        <w:t>Allow for</w:t>
      </w:r>
      <w:r w:rsidR="00B35AE4">
        <w:t xml:space="preserve"> the addition of new pesticides; and</w:t>
      </w:r>
    </w:p>
    <w:p w14:paraId="4A8446B3" w14:textId="778D4D11" w:rsidR="00082013" w:rsidRPr="00DB7FB6" w:rsidRDefault="00082013" w:rsidP="00082013">
      <w:pPr>
        <w:pStyle w:val="ListParagraph"/>
        <w:numPr>
          <w:ilvl w:val="0"/>
          <w:numId w:val="6"/>
        </w:numPr>
        <w:spacing w:after="0"/>
      </w:pPr>
      <w:r w:rsidRPr="005171FB">
        <w:t>Reduce the volume of</w:t>
      </w:r>
      <w:r w:rsidRPr="00DB7FB6">
        <w:t xml:space="preserve"> wastewater that is generated during the extraction process.</w:t>
      </w:r>
    </w:p>
    <w:p w14:paraId="4EA6072F" w14:textId="73AAA0EB" w:rsidR="003C362C" w:rsidRPr="00207051" w:rsidRDefault="003C362C" w:rsidP="00207051">
      <w:pPr>
        <w:spacing w:after="0" w:line="259" w:lineRule="auto"/>
        <w:ind w:left="0" w:firstLine="0"/>
        <w:rPr>
          <w:i w:val="0"/>
        </w:rPr>
      </w:pPr>
    </w:p>
    <w:p w14:paraId="5190FDC9" w14:textId="77777777" w:rsidR="003C362C" w:rsidRDefault="003C362C" w:rsidP="003C362C">
      <w:pPr>
        <w:spacing w:after="0" w:line="259" w:lineRule="auto"/>
        <w:ind w:left="0" w:firstLine="0"/>
        <w:rPr>
          <w:i w:val="0"/>
        </w:rPr>
      </w:pPr>
      <w:r w:rsidRPr="00794802">
        <w:rPr>
          <w:i w:val="0"/>
        </w:rPr>
        <w:t xml:space="preserve">Throughout </w:t>
      </w:r>
      <w:r>
        <w:rPr>
          <w:i w:val="0"/>
        </w:rPr>
        <w:t xml:space="preserve">the </w:t>
      </w:r>
      <w:r w:rsidRPr="00794802">
        <w:rPr>
          <w:i w:val="0"/>
        </w:rPr>
        <w:t xml:space="preserve">summer of 2021, this instrument will be run in conjunction with </w:t>
      </w:r>
      <w:r>
        <w:rPr>
          <w:i w:val="0"/>
        </w:rPr>
        <w:t>the older LC-MS/</w:t>
      </w:r>
      <w:r w:rsidRPr="00794802">
        <w:rPr>
          <w:i w:val="0"/>
        </w:rPr>
        <w:t>MS machines to compare results</w:t>
      </w:r>
      <w:r>
        <w:rPr>
          <w:i w:val="0"/>
        </w:rPr>
        <w:t xml:space="preserve"> and evaluate performance</w:t>
      </w:r>
      <w:r w:rsidRPr="00794802">
        <w:rPr>
          <w:i w:val="0"/>
        </w:rPr>
        <w:t xml:space="preserve">. It is anticipated that the instrument will be </w:t>
      </w:r>
      <w:r>
        <w:rPr>
          <w:i w:val="0"/>
        </w:rPr>
        <w:t>validated</w:t>
      </w:r>
      <w:r w:rsidRPr="00794802">
        <w:rPr>
          <w:i w:val="0"/>
        </w:rPr>
        <w:t xml:space="preserve"> and ready to analyze samples starting in 2022.</w:t>
      </w:r>
      <w:r w:rsidRPr="000C320F">
        <w:rPr>
          <w:i w:val="0"/>
        </w:rPr>
        <w:t xml:space="preserve"> </w:t>
      </w:r>
      <w:r w:rsidRPr="00794802">
        <w:rPr>
          <w:i w:val="0"/>
        </w:rPr>
        <w:t xml:space="preserve">A summary report detailing the Activity Outcomes will be prepared upon completion of the </w:t>
      </w:r>
      <w:r>
        <w:rPr>
          <w:i w:val="0"/>
        </w:rPr>
        <w:t>analytical method development</w:t>
      </w:r>
      <w:r w:rsidRPr="00794802">
        <w:rPr>
          <w:i w:val="0"/>
        </w:rPr>
        <w:t>.</w:t>
      </w:r>
    </w:p>
    <w:p w14:paraId="741929C9" w14:textId="5FD3365F" w:rsidR="00165D34" w:rsidRDefault="00165D34">
      <w:pPr>
        <w:spacing w:after="0" w:line="259" w:lineRule="auto"/>
        <w:ind w:left="0" w:firstLine="0"/>
        <w:rPr>
          <w:b/>
          <w:i w:val="0"/>
        </w:rPr>
      </w:pPr>
    </w:p>
    <w:p w14:paraId="04650C51" w14:textId="54A321C7" w:rsidR="00930477" w:rsidRDefault="00930477" w:rsidP="00930477">
      <w:r>
        <w:rPr>
          <w:b/>
          <w:i w:val="0"/>
        </w:rPr>
        <w:t>ENRTF BUDGET: $</w:t>
      </w:r>
      <w:r w:rsidR="0015596D">
        <w:rPr>
          <w:b/>
          <w:i w:val="0"/>
        </w:rPr>
        <w:t>736,079</w:t>
      </w:r>
    </w:p>
    <w:tbl>
      <w:tblPr>
        <w:tblStyle w:val="TableGrid"/>
        <w:tblW w:w="10072" w:type="dxa"/>
        <w:tblInd w:w="5" w:type="dxa"/>
        <w:tblCellMar>
          <w:top w:w="4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8286"/>
        <w:gridCol w:w="1786"/>
      </w:tblGrid>
      <w:tr w:rsidR="00165D34" w14:paraId="50E61881" w14:textId="77777777" w:rsidTr="001134D0">
        <w:trPr>
          <w:trHeight w:val="278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427D" w14:textId="77777777" w:rsidR="00165D34" w:rsidRDefault="00207CC0">
            <w:pPr>
              <w:spacing w:after="0" w:line="259" w:lineRule="auto"/>
              <w:ind w:left="0" w:firstLine="0"/>
            </w:pPr>
            <w:r>
              <w:rPr>
                <w:b/>
                <w:i w:val="0"/>
              </w:rPr>
              <w:t xml:space="preserve"> </w:t>
            </w:r>
            <w:r>
              <w:t xml:space="preserve"> </w:t>
            </w:r>
            <w:r>
              <w:rPr>
                <w:b/>
                <w:i w:val="0"/>
              </w:rPr>
              <w:t xml:space="preserve">Outcome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7EB1" w14:textId="77777777" w:rsidR="00165D34" w:rsidRDefault="00207CC0">
            <w:pPr>
              <w:spacing w:after="0" w:line="259" w:lineRule="auto"/>
              <w:ind w:firstLine="0"/>
            </w:pPr>
            <w:r>
              <w:rPr>
                <w:b/>
                <w:i w:val="0"/>
              </w:rPr>
              <w:t xml:space="preserve">Completion Date </w:t>
            </w:r>
          </w:p>
        </w:tc>
      </w:tr>
      <w:tr w:rsidR="00165D34" w14:paraId="7FE31565" w14:textId="77777777" w:rsidTr="001134D0">
        <w:trPr>
          <w:trHeight w:val="278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DC4A" w14:textId="4DE37E7C" w:rsidR="00165D34" w:rsidRDefault="00207CC0" w:rsidP="00ED5C59">
            <w:pPr>
              <w:spacing w:after="0" w:line="259" w:lineRule="auto"/>
              <w:ind w:left="0" w:firstLine="0"/>
            </w:pPr>
            <w:r>
              <w:rPr>
                <w:b/>
              </w:rPr>
              <w:t>1.</w:t>
            </w:r>
            <w:r w:rsidRPr="00ED5C59">
              <w:t xml:space="preserve"> </w:t>
            </w:r>
            <w:r w:rsidR="00ED5C59">
              <w:t>Solicit</w:t>
            </w:r>
            <w:r w:rsidR="002C1E0F">
              <w:t>,</w:t>
            </w:r>
            <w:r w:rsidR="00ED5C59">
              <w:t xml:space="preserve"> evaluate bids</w:t>
            </w:r>
            <w:r w:rsidR="002C1E0F">
              <w:t xml:space="preserve"> and purchase</w:t>
            </w:r>
            <w:r w:rsidR="00ED5C59">
              <w:t xml:space="preserve"> for LC-MS/MS </w:t>
            </w:r>
            <w:r w:rsidR="00FC51EA">
              <w:t xml:space="preserve">direct inject </w:t>
            </w:r>
            <w:r w:rsidR="00ED5C59">
              <w:t>purchase</w:t>
            </w:r>
            <w:r w:rsidR="002C1E0F">
              <w:t xml:space="preserve"> and five year service contract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CB0B" w14:textId="5850496D" w:rsidR="00165D34" w:rsidRPr="00ED5C59" w:rsidRDefault="00ED5C59" w:rsidP="00ED5C59">
            <w:pPr>
              <w:spacing w:after="0" w:line="259" w:lineRule="auto"/>
              <w:ind w:left="0" w:firstLine="0"/>
            </w:pPr>
            <w:r>
              <w:t>September</w:t>
            </w:r>
            <w:r w:rsidR="002C1E0F">
              <w:t xml:space="preserve"> </w:t>
            </w:r>
            <w:r w:rsidR="00F10860">
              <w:t>–</w:t>
            </w:r>
            <w:r w:rsidR="002C1E0F">
              <w:t xml:space="preserve"> November</w:t>
            </w:r>
            <w:r w:rsidR="001134D0" w:rsidRPr="00ED5C59">
              <w:t xml:space="preserve"> 2020</w:t>
            </w:r>
          </w:p>
        </w:tc>
      </w:tr>
      <w:tr w:rsidR="00ED5C59" w14:paraId="200DCD1A" w14:textId="77777777" w:rsidTr="001134D0">
        <w:trPr>
          <w:trHeight w:val="281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E43E" w14:textId="50F263CC" w:rsidR="00ED5C59" w:rsidRDefault="00F10860" w:rsidP="00BD5987">
            <w:pPr>
              <w:spacing w:after="0" w:line="259" w:lineRule="auto"/>
              <w:ind w:left="0" w:firstLine="0"/>
            </w:pPr>
            <w:r>
              <w:rPr>
                <w:b/>
              </w:rPr>
              <w:t>2</w:t>
            </w:r>
            <w:r w:rsidR="00ED5C59">
              <w:rPr>
                <w:b/>
              </w:rPr>
              <w:t>.</w:t>
            </w:r>
            <w:r w:rsidR="00ED5C59" w:rsidRPr="00ED5C59">
              <w:t xml:space="preserve"> </w:t>
            </w:r>
            <w:r w:rsidR="00ED5C59">
              <w:t>S</w:t>
            </w:r>
            <w:r w:rsidR="00ED5C59" w:rsidRPr="00ED5C59">
              <w:t xml:space="preserve">etup of LC-MS/MS </w:t>
            </w:r>
            <w:r w:rsidR="00FC51EA">
              <w:t xml:space="preserve">direct inject </w:t>
            </w:r>
            <w:r w:rsidR="00ED5C59" w:rsidRPr="00ED5C59">
              <w:t>Instrument</w:t>
            </w:r>
            <w:r w:rsidR="0026221D">
              <w:t>,</w:t>
            </w:r>
            <w:r w:rsidR="003C19F6">
              <w:t xml:space="preserve"> software</w:t>
            </w:r>
            <w:r w:rsidR="0026221D">
              <w:t xml:space="preserve"> installs and chemist training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1210" w14:textId="5D568AB7" w:rsidR="00ED5C59" w:rsidRDefault="00082013" w:rsidP="002F145F">
            <w:pPr>
              <w:spacing w:after="0" w:line="259" w:lineRule="auto"/>
              <w:ind w:left="0" w:firstLine="0"/>
            </w:pPr>
            <w:r>
              <w:t>Feb</w:t>
            </w:r>
            <w:r w:rsidR="000E7DEE">
              <w:t xml:space="preserve"> – </w:t>
            </w:r>
            <w:r w:rsidR="0054635E">
              <w:t>May</w:t>
            </w:r>
            <w:r w:rsidR="002F145F">
              <w:t xml:space="preserve"> </w:t>
            </w:r>
            <w:r w:rsidR="00ED5C59">
              <w:t>202</w:t>
            </w:r>
            <w:r w:rsidR="002F145F">
              <w:t>1</w:t>
            </w:r>
          </w:p>
        </w:tc>
      </w:tr>
      <w:tr w:rsidR="002C1E0F" w14:paraId="219DD37A" w14:textId="77777777" w:rsidTr="00DB7FB6">
        <w:trPr>
          <w:trHeight w:val="278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E527" w14:textId="47578671" w:rsidR="002C1E0F" w:rsidRPr="00840F1A" w:rsidRDefault="00F10860" w:rsidP="002C1E0F">
            <w:pPr>
              <w:spacing w:after="0" w:line="259" w:lineRule="auto"/>
              <w:ind w:left="0" w:firstLine="0"/>
            </w:pPr>
            <w:r w:rsidRPr="00F10860">
              <w:rPr>
                <w:b/>
              </w:rPr>
              <w:t>3</w:t>
            </w:r>
            <w:r w:rsidR="002C1E0F">
              <w:t xml:space="preserve">. Finalize pesticide analysis list and fine tune instrument </w:t>
            </w:r>
            <w:r w:rsidR="002C1E0F" w:rsidRPr="00840F1A"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BF0B" w14:textId="61B0FC53" w:rsidR="002C1E0F" w:rsidRDefault="002C1E0F" w:rsidP="00DB7FB6">
            <w:pPr>
              <w:spacing w:after="0" w:line="259" w:lineRule="auto"/>
              <w:ind w:left="0" w:firstLine="0"/>
            </w:pPr>
            <w:r>
              <w:t>May 2021 – Dec 2021</w:t>
            </w:r>
          </w:p>
        </w:tc>
      </w:tr>
      <w:tr w:rsidR="002C1E0F" w14:paraId="2C02D24E" w14:textId="77777777" w:rsidTr="00DB7FB6">
        <w:trPr>
          <w:trHeight w:val="278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05A" w14:textId="7F05DB96" w:rsidR="002C1E0F" w:rsidRPr="00840F1A" w:rsidRDefault="00F10860" w:rsidP="00DB7FB6">
            <w:pPr>
              <w:spacing w:after="0" w:line="259" w:lineRule="auto"/>
              <w:ind w:left="0" w:firstLine="0"/>
            </w:pPr>
            <w:r w:rsidRPr="00F10860">
              <w:rPr>
                <w:b/>
              </w:rPr>
              <w:t>4</w:t>
            </w:r>
            <w:r w:rsidR="002C1E0F">
              <w:t xml:space="preserve">. </w:t>
            </w:r>
            <w:r w:rsidR="002C1E0F" w:rsidRPr="00840F1A">
              <w:t xml:space="preserve">Determine sample increase </w:t>
            </w:r>
            <w:r w:rsidR="002C1E0F">
              <w:t xml:space="preserve">in </w:t>
            </w:r>
            <w:r w:rsidR="002C1E0F" w:rsidRPr="00840F1A">
              <w:t>capacity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C03D" w14:textId="77777777" w:rsidR="002C1E0F" w:rsidRDefault="002C1E0F" w:rsidP="00DB7FB6">
            <w:pPr>
              <w:spacing w:after="0" w:line="259" w:lineRule="auto"/>
              <w:ind w:left="0" w:firstLine="0"/>
            </w:pPr>
            <w:r>
              <w:t>Jan 2022</w:t>
            </w:r>
          </w:p>
        </w:tc>
      </w:tr>
      <w:tr w:rsidR="002C1E0F" w14:paraId="6E73D88D" w14:textId="77777777" w:rsidTr="00DB7FB6">
        <w:trPr>
          <w:trHeight w:val="278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D4A1" w14:textId="5EA18C54" w:rsidR="002C1E0F" w:rsidRPr="00840F1A" w:rsidRDefault="00F10860" w:rsidP="00DB7FB6">
            <w:pPr>
              <w:spacing w:after="0" w:line="259" w:lineRule="auto"/>
              <w:ind w:left="0" w:firstLine="0"/>
            </w:pPr>
            <w:r w:rsidRPr="00F10860">
              <w:rPr>
                <w:b/>
              </w:rPr>
              <w:t>5</w:t>
            </w:r>
            <w:r w:rsidR="002C1E0F">
              <w:t xml:space="preserve">. </w:t>
            </w:r>
            <w:r w:rsidR="002C1E0F" w:rsidRPr="00840F1A">
              <w:t xml:space="preserve">Fully operational for 2022 </w:t>
            </w:r>
            <w:r w:rsidR="000F13F7">
              <w:t xml:space="preserve">water </w:t>
            </w:r>
            <w:r w:rsidR="002C1E0F" w:rsidRPr="00840F1A">
              <w:t>sampling season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D33E" w14:textId="77777777" w:rsidR="002C1E0F" w:rsidRDefault="002C1E0F" w:rsidP="00DB7FB6">
            <w:pPr>
              <w:spacing w:after="0" w:line="259" w:lineRule="auto"/>
              <w:ind w:left="0" w:firstLine="0"/>
            </w:pPr>
            <w:r>
              <w:t>Feb 2022</w:t>
            </w:r>
          </w:p>
        </w:tc>
      </w:tr>
    </w:tbl>
    <w:p w14:paraId="528D9E8A" w14:textId="77777777" w:rsidR="00BD2C24" w:rsidRDefault="00BD2C24">
      <w:pPr>
        <w:spacing w:after="160" w:line="259" w:lineRule="auto"/>
        <w:ind w:left="0" w:firstLine="0"/>
        <w:rPr>
          <w:b/>
          <w:i w:val="0"/>
        </w:rPr>
      </w:pPr>
      <w:r>
        <w:rPr>
          <w:b/>
          <w:i w:val="0"/>
        </w:rPr>
        <w:br w:type="page"/>
      </w:r>
    </w:p>
    <w:p w14:paraId="1A24066E" w14:textId="41B9DD11" w:rsidR="00ED5C59" w:rsidRDefault="00ED5C59" w:rsidP="00ED5C59">
      <w:pPr>
        <w:spacing w:after="0" w:line="259" w:lineRule="auto"/>
        <w:ind w:left="0" w:firstLine="0"/>
      </w:pPr>
      <w:r>
        <w:rPr>
          <w:b/>
          <w:i w:val="0"/>
        </w:rPr>
        <w:lastRenderedPageBreak/>
        <w:t xml:space="preserve">ACTIVITY </w:t>
      </w:r>
      <w:r w:rsidR="002C1E0F">
        <w:rPr>
          <w:b/>
          <w:i w:val="0"/>
        </w:rPr>
        <w:t>2</w:t>
      </w:r>
      <w:r w:rsidRPr="00DE642D">
        <w:rPr>
          <w:b/>
          <w:i w:val="0"/>
        </w:rPr>
        <w:t xml:space="preserve">: </w:t>
      </w:r>
      <w:r w:rsidR="002C1E0F">
        <w:rPr>
          <w:b/>
          <w:i w:val="0"/>
        </w:rPr>
        <w:t xml:space="preserve"> Reporting of results on expanded </w:t>
      </w:r>
      <w:r w:rsidR="00200FF7">
        <w:rPr>
          <w:b/>
          <w:i w:val="0"/>
        </w:rPr>
        <w:t xml:space="preserve">sample </w:t>
      </w:r>
      <w:r w:rsidR="002C1E0F">
        <w:rPr>
          <w:b/>
          <w:i w:val="0"/>
        </w:rPr>
        <w:t>capacity and increase</w:t>
      </w:r>
      <w:r w:rsidR="00082013">
        <w:rPr>
          <w:b/>
          <w:i w:val="0"/>
        </w:rPr>
        <w:t>d</w:t>
      </w:r>
      <w:r w:rsidR="002C1E0F">
        <w:rPr>
          <w:b/>
          <w:i w:val="0"/>
        </w:rPr>
        <w:t xml:space="preserve"> pesticide analysis.</w:t>
      </w:r>
    </w:p>
    <w:p w14:paraId="73176BF8" w14:textId="2BCA8BD6" w:rsidR="003C19F6" w:rsidRDefault="00CE1053" w:rsidP="00200FF7">
      <w:pPr>
        <w:rPr>
          <w:i w:val="0"/>
        </w:rPr>
      </w:pPr>
      <w:r>
        <w:rPr>
          <w:i w:val="0"/>
        </w:rPr>
        <w:t>Starting in the spring of 2022</w:t>
      </w:r>
      <w:r w:rsidR="00082013">
        <w:rPr>
          <w:i w:val="0"/>
        </w:rPr>
        <w:t>,</w:t>
      </w:r>
      <w:r>
        <w:rPr>
          <w:i w:val="0"/>
        </w:rPr>
        <w:t xml:space="preserve"> the new instrument and method will be used by</w:t>
      </w:r>
      <w:r w:rsidR="00A07BDA" w:rsidRPr="00840F1A">
        <w:rPr>
          <w:i w:val="0"/>
        </w:rPr>
        <w:t xml:space="preserve"> MDA </w:t>
      </w:r>
      <w:r>
        <w:rPr>
          <w:i w:val="0"/>
        </w:rPr>
        <w:t xml:space="preserve">for analysis of </w:t>
      </w:r>
      <w:r w:rsidR="00A07BDA" w:rsidRPr="00840F1A">
        <w:rPr>
          <w:i w:val="0"/>
        </w:rPr>
        <w:t xml:space="preserve">surface and groundwater samples </w:t>
      </w:r>
      <w:r>
        <w:rPr>
          <w:i w:val="0"/>
        </w:rPr>
        <w:t xml:space="preserve">collected </w:t>
      </w:r>
      <w:r w:rsidR="00A07BDA" w:rsidRPr="00840F1A">
        <w:rPr>
          <w:i w:val="0"/>
        </w:rPr>
        <w:t>across the state</w:t>
      </w:r>
      <w:r w:rsidR="005022F0">
        <w:rPr>
          <w:i w:val="0"/>
        </w:rPr>
        <w:t xml:space="preserve">, with an </w:t>
      </w:r>
      <w:r w:rsidR="005022F0" w:rsidRPr="00871EDC">
        <w:rPr>
          <w:i w:val="0"/>
        </w:rPr>
        <w:t xml:space="preserve">anticipated </w:t>
      </w:r>
      <w:r w:rsidR="000E6ACD">
        <w:rPr>
          <w:i w:val="0"/>
        </w:rPr>
        <w:t>917</w:t>
      </w:r>
      <w:r w:rsidR="000E6ACD" w:rsidRPr="00871EDC">
        <w:rPr>
          <w:i w:val="0"/>
        </w:rPr>
        <w:t xml:space="preserve"> </w:t>
      </w:r>
      <w:r w:rsidR="00200FF7">
        <w:rPr>
          <w:i w:val="0"/>
        </w:rPr>
        <w:t xml:space="preserve">LC-MS/MS </w:t>
      </w:r>
      <w:r w:rsidR="005022F0" w:rsidRPr="00871EDC">
        <w:rPr>
          <w:i w:val="0"/>
        </w:rPr>
        <w:t xml:space="preserve">samples to be submitted in 2022, an increase of </w:t>
      </w:r>
      <w:r w:rsidR="000132C6" w:rsidRPr="00871EDC">
        <w:rPr>
          <w:i w:val="0"/>
        </w:rPr>
        <w:t xml:space="preserve">267 </w:t>
      </w:r>
      <w:r w:rsidR="005022F0" w:rsidRPr="00871EDC">
        <w:rPr>
          <w:i w:val="0"/>
        </w:rPr>
        <w:t>samples from 2019</w:t>
      </w:r>
      <w:bookmarkStart w:id="0" w:name="_GoBack"/>
      <w:bookmarkEnd w:id="0"/>
      <w:r w:rsidRPr="00871EDC">
        <w:rPr>
          <w:i w:val="0"/>
        </w:rPr>
        <w:t>.</w:t>
      </w:r>
      <w:r w:rsidR="00A07BDA" w:rsidRPr="00871EDC">
        <w:rPr>
          <w:i w:val="0"/>
        </w:rPr>
        <w:t xml:space="preserve"> </w:t>
      </w:r>
      <w:r w:rsidR="00082013" w:rsidRPr="00871EDC">
        <w:rPr>
          <w:i w:val="0"/>
        </w:rPr>
        <w:t>This will include coordinating with the Minnesota Department of Health (MDH) on the collection of 100 water samples from Community Public</w:t>
      </w:r>
      <w:r w:rsidR="00082013">
        <w:rPr>
          <w:i w:val="0"/>
        </w:rPr>
        <w:t xml:space="preserve"> Water Supply systems across Minnesota, similar to past efforts in 2010 and 2015</w:t>
      </w:r>
      <w:r w:rsidR="00200FF7">
        <w:rPr>
          <w:i w:val="0"/>
        </w:rPr>
        <w:t xml:space="preserve">. </w:t>
      </w:r>
      <w:r w:rsidR="00EA70F6" w:rsidRPr="00840F1A">
        <w:rPr>
          <w:i w:val="0"/>
        </w:rPr>
        <w:t xml:space="preserve">A summary report providing details on </w:t>
      </w:r>
      <w:r w:rsidR="006E7422">
        <w:rPr>
          <w:i w:val="0"/>
        </w:rPr>
        <w:t>all of the</w:t>
      </w:r>
      <w:r w:rsidR="006E7422" w:rsidRPr="00840F1A">
        <w:rPr>
          <w:i w:val="0"/>
        </w:rPr>
        <w:t xml:space="preserve"> Activity</w:t>
      </w:r>
      <w:r w:rsidR="00EA70F6" w:rsidRPr="00840F1A">
        <w:rPr>
          <w:i w:val="0"/>
        </w:rPr>
        <w:t xml:space="preserve"> Outcomes will be submitted within 30 days of the completion date.</w:t>
      </w:r>
    </w:p>
    <w:p w14:paraId="68E2DCDE" w14:textId="2EFF2E0A" w:rsidR="00ED5C59" w:rsidRDefault="00ED5C59" w:rsidP="00ED5C59"/>
    <w:tbl>
      <w:tblPr>
        <w:tblStyle w:val="TableGrid"/>
        <w:tblW w:w="10072" w:type="dxa"/>
        <w:tblInd w:w="5" w:type="dxa"/>
        <w:tblCellMar>
          <w:top w:w="4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8286"/>
        <w:gridCol w:w="1786"/>
      </w:tblGrid>
      <w:tr w:rsidR="00ED5C59" w14:paraId="112A1316" w14:textId="77777777" w:rsidTr="002346BC">
        <w:trPr>
          <w:trHeight w:val="278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2948" w14:textId="77777777" w:rsidR="00ED5C59" w:rsidRDefault="00ED5C59" w:rsidP="002346BC">
            <w:pPr>
              <w:spacing w:after="0" w:line="259" w:lineRule="auto"/>
              <w:ind w:left="0" w:firstLine="0"/>
            </w:pPr>
            <w:r>
              <w:rPr>
                <w:b/>
                <w:i w:val="0"/>
              </w:rPr>
              <w:t xml:space="preserve">Outcome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99EE" w14:textId="77777777" w:rsidR="00ED5C59" w:rsidRDefault="00ED5C59" w:rsidP="002346BC">
            <w:pPr>
              <w:spacing w:after="0" w:line="259" w:lineRule="auto"/>
              <w:ind w:firstLine="0"/>
            </w:pPr>
            <w:r>
              <w:rPr>
                <w:b/>
                <w:i w:val="0"/>
              </w:rPr>
              <w:t xml:space="preserve">Completion Date </w:t>
            </w:r>
          </w:p>
        </w:tc>
      </w:tr>
      <w:tr w:rsidR="00ED5C59" w14:paraId="747CE146" w14:textId="77777777" w:rsidTr="002346BC">
        <w:trPr>
          <w:trHeight w:val="278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DB62" w14:textId="7E43324C" w:rsidR="00ED5C59" w:rsidRDefault="00ED5C59" w:rsidP="00395CC2">
            <w:pPr>
              <w:spacing w:after="0" w:line="259" w:lineRule="auto"/>
              <w:ind w:left="0" w:firstLine="0"/>
            </w:pPr>
            <w:r>
              <w:rPr>
                <w:b/>
              </w:rPr>
              <w:t>1</w:t>
            </w:r>
            <w:r w:rsidRPr="002F145F">
              <w:t xml:space="preserve">. </w:t>
            </w:r>
            <w:r w:rsidR="000F08F2">
              <w:t>Beg</w:t>
            </w:r>
            <w:r w:rsidR="00395CC2">
              <w:t>i</w:t>
            </w:r>
            <w:r w:rsidR="000F08F2">
              <w:t>n routine sample analysis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EE69" w14:textId="41C0D04D" w:rsidR="00ED5C59" w:rsidRPr="00E25D04" w:rsidRDefault="00F301D9" w:rsidP="002346BC">
            <w:pPr>
              <w:spacing w:after="0" w:line="259" w:lineRule="auto"/>
              <w:ind w:left="0" w:firstLine="0"/>
            </w:pPr>
            <w:r>
              <w:t>March</w:t>
            </w:r>
            <w:r w:rsidR="000F08F2">
              <w:t xml:space="preserve"> 2022</w:t>
            </w:r>
          </w:p>
        </w:tc>
      </w:tr>
      <w:tr w:rsidR="009700D9" w14:paraId="55BE820F" w14:textId="77777777" w:rsidTr="002346BC">
        <w:trPr>
          <w:trHeight w:val="278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91A8" w14:textId="00DABE3D" w:rsidR="009700D9" w:rsidRPr="009700D9" w:rsidRDefault="009700D9" w:rsidP="000F08F2">
            <w:pPr>
              <w:spacing w:after="0" w:line="259" w:lineRule="auto"/>
              <w:ind w:left="0" w:firstLine="0"/>
            </w:pPr>
            <w:r w:rsidRPr="001A4DC7">
              <w:rPr>
                <w:b/>
              </w:rPr>
              <w:t>2</w:t>
            </w:r>
            <w:r w:rsidRPr="009700D9">
              <w:t>. Community Public Water Supply Reconnaissance</w:t>
            </w:r>
            <w:r w:rsidR="00AC2991">
              <w:t xml:space="preserve"> with MDH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D9EF" w14:textId="6AB1B19A" w:rsidR="009700D9" w:rsidRDefault="000C36BE" w:rsidP="002346BC">
            <w:pPr>
              <w:spacing w:after="0" w:line="259" w:lineRule="auto"/>
              <w:ind w:left="0" w:firstLine="0"/>
            </w:pPr>
            <w:r>
              <w:t>March</w:t>
            </w:r>
            <w:r w:rsidR="009700D9">
              <w:t xml:space="preserve"> 2022</w:t>
            </w:r>
          </w:p>
        </w:tc>
      </w:tr>
      <w:tr w:rsidR="00ED5C59" w14:paraId="26C4C406" w14:textId="77777777" w:rsidTr="002346BC">
        <w:trPr>
          <w:trHeight w:val="278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1DEE" w14:textId="6ACC74D2" w:rsidR="00ED5C59" w:rsidRDefault="009700D9" w:rsidP="00183641">
            <w:pPr>
              <w:spacing w:after="0" w:line="259" w:lineRule="auto"/>
              <w:ind w:left="0" w:firstLine="0"/>
            </w:pPr>
            <w:r>
              <w:rPr>
                <w:b/>
              </w:rPr>
              <w:t>3</w:t>
            </w:r>
            <w:r w:rsidR="00ED5C59">
              <w:rPr>
                <w:b/>
              </w:rPr>
              <w:t>.</w:t>
            </w:r>
            <w:r w:rsidR="00ED5C59">
              <w:t xml:space="preserve"> </w:t>
            </w:r>
            <w:r w:rsidR="00183641">
              <w:t>Expanded capacity and efficiency evaluation</w:t>
            </w:r>
            <w:r w:rsidR="000F08F2">
              <w:t xml:space="preserve"> final report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3C0D" w14:textId="7D3CD608" w:rsidR="00ED5C59" w:rsidRDefault="009700D9" w:rsidP="002346BC">
            <w:pPr>
              <w:spacing w:after="0" w:line="259" w:lineRule="auto"/>
              <w:ind w:left="0" w:firstLine="0"/>
            </w:pPr>
            <w:r>
              <w:t>June 30, 2022</w:t>
            </w:r>
          </w:p>
        </w:tc>
      </w:tr>
    </w:tbl>
    <w:p w14:paraId="65CD6E64" w14:textId="77777777" w:rsidR="00ED5C59" w:rsidRDefault="00ED5C59">
      <w:pPr>
        <w:spacing w:after="0" w:line="259" w:lineRule="auto"/>
        <w:ind w:left="0" w:firstLine="0"/>
      </w:pPr>
    </w:p>
    <w:p w14:paraId="1510D5E9" w14:textId="77777777" w:rsidR="00165D34" w:rsidRDefault="00207CC0">
      <w:pPr>
        <w:numPr>
          <w:ilvl w:val="0"/>
          <w:numId w:val="2"/>
        </w:numPr>
        <w:ind w:hanging="540"/>
      </w:pPr>
      <w:r>
        <w:rPr>
          <w:b/>
          <w:i w:val="0"/>
        </w:rPr>
        <w:t xml:space="preserve">PROJECT PARTNERS AND COLLABORATORS: </w:t>
      </w:r>
    </w:p>
    <w:p w14:paraId="41EB0E7B" w14:textId="77777777" w:rsidR="00165D34" w:rsidRDefault="00207CC0">
      <w:pPr>
        <w:ind w:left="-5"/>
      </w:pPr>
      <w:r>
        <w:t>Who are the project partners and collaborators? Only include committed partners and collaborators.</w:t>
      </w:r>
      <w:r>
        <w:rPr>
          <w:b/>
          <w:i w:val="0"/>
        </w:rPr>
        <w:t xml:space="preserve"> </w:t>
      </w:r>
    </w:p>
    <w:p w14:paraId="71975F6B" w14:textId="77777777" w:rsidR="00165D34" w:rsidRDefault="00297E0C" w:rsidP="00297E0C">
      <w:pPr>
        <w:pStyle w:val="Bodycopy"/>
        <w:spacing w:before="0"/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A.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receiving ENRTF funding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95"/>
        <w:gridCol w:w="2523"/>
        <w:gridCol w:w="2897"/>
        <w:gridCol w:w="2119"/>
      </w:tblGrid>
      <w:tr w:rsidR="00297E0C" w14:paraId="6060A257" w14:textId="77777777" w:rsidTr="001238B2">
        <w:tc>
          <w:tcPr>
            <w:tcW w:w="2495" w:type="dxa"/>
          </w:tcPr>
          <w:p w14:paraId="57348ACC" w14:textId="77777777" w:rsidR="00297E0C" w:rsidRDefault="00297E0C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Name</w:t>
            </w:r>
          </w:p>
        </w:tc>
        <w:tc>
          <w:tcPr>
            <w:tcW w:w="2523" w:type="dxa"/>
          </w:tcPr>
          <w:p w14:paraId="15BDA8ED" w14:textId="77777777" w:rsidR="00297E0C" w:rsidRDefault="00297E0C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Title</w:t>
            </w:r>
          </w:p>
        </w:tc>
        <w:tc>
          <w:tcPr>
            <w:tcW w:w="2897" w:type="dxa"/>
          </w:tcPr>
          <w:p w14:paraId="28064665" w14:textId="77777777" w:rsidR="00297E0C" w:rsidRDefault="00297E0C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Affiliation</w:t>
            </w:r>
          </w:p>
        </w:tc>
        <w:tc>
          <w:tcPr>
            <w:tcW w:w="2119" w:type="dxa"/>
          </w:tcPr>
          <w:p w14:paraId="13C7504F" w14:textId="77777777" w:rsidR="00297E0C" w:rsidRDefault="00297E0C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Role</w:t>
            </w:r>
          </w:p>
        </w:tc>
      </w:tr>
      <w:tr w:rsidR="00297E0C" w14:paraId="6FB10D3F" w14:textId="77777777" w:rsidTr="001238B2">
        <w:tc>
          <w:tcPr>
            <w:tcW w:w="2495" w:type="dxa"/>
            <w:vAlign w:val="center"/>
          </w:tcPr>
          <w:p w14:paraId="7640D3EC" w14:textId="77777777" w:rsidR="00297E0C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Kathy Reynolds</w:t>
            </w:r>
          </w:p>
        </w:tc>
        <w:tc>
          <w:tcPr>
            <w:tcW w:w="2523" w:type="dxa"/>
            <w:vAlign w:val="center"/>
          </w:tcPr>
          <w:p w14:paraId="300EE94A" w14:textId="77777777" w:rsidR="00297E0C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Analytical Supervisor</w:t>
            </w:r>
          </w:p>
        </w:tc>
        <w:tc>
          <w:tcPr>
            <w:tcW w:w="2897" w:type="dxa"/>
            <w:vAlign w:val="center"/>
          </w:tcPr>
          <w:p w14:paraId="47188CBB" w14:textId="77777777" w:rsidR="00297E0C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MDA Lab</w:t>
            </w:r>
          </w:p>
        </w:tc>
        <w:tc>
          <w:tcPr>
            <w:tcW w:w="2119" w:type="dxa"/>
            <w:vAlign w:val="center"/>
          </w:tcPr>
          <w:p w14:paraId="13DBBB67" w14:textId="77777777" w:rsidR="00297E0C" w:rsidRDefault="00297E0C" w:rsidP="00183641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PI</w:t>
            </w:r>
          </w:p>
        </w:tc>
      </w:tr>
      <w:tr w:rsidR="00297E0C" w14:paraId="0195E7B4" w14:textId="77777777" w:rsidTr="001238B2">
        <w:tc>
          <w:tcPr>
            <w:tcW w:w="2495" w:type="dxa"/>
            <w:vAlign w:val="center"/>
          </w:tcPr>
          <w:p w14:paraId="765617E1" w14:textId="77777777" w:rsidR="00297E0C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Heather Johnson</w:t>
            </w:r>
          </w:p>
        </w:tc>
        <w:tc>
          <w:tcPr>
            <w:tcW w:w="2523" w:type="dxa"/>
            <w:vAlign w:val="center"/>
          </w:tcPr>
          <w:p w14:paraId="5FDF0574" w14:textId="77777777" w:rsidR="00297E0C" w:rsidRDefault="00183641" w:rsidP="00183641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Hydrologist</w:t>
            </w:r>
          </w:p>
        </w:tc>
        <w:tc>
          <w:tcPr>
            <w:tcW w:w="2897" w:type="dxa"/>
            <w:vAlign w:val="center"/>
          </w:tcPr>
          <w:p w14:paraId="09E11094" w14:textId="77777777" w:rsidR="00297E0C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MDA Monitoring Unit</w:t>
            </w:r>
          </w:p>
        </w:tc>
        <w:tc>
          <w:tcPr>
            <w:tcW w:w="2119" w:type="dxa"/>
            <w:vAlign w:val="center"/>
          </w:tcPr>
          <w:p w14:paraId="1A45C4A7" w14:textId="77777777" w:rsidR="00297E0C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Project Manager</w:t>
            </w:r>
          </w:p>
        </w:tc>
      </w:tr>
      <w:tr w:rsidR="00183641" w14:paraId="247A3C5C" w14:textId="77777777" w:rsidTr="001238B2">
        <w:tc>
          <w:tcPr>
            <w:tcW w:w="2495" w:type="dxa"/>
            <w:vAlign w:val="center"/>
          </w:tcPr>
          <w:p w14:paraId="6EE69E3C" w14:textId="77777777" w:rsidR="00183641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Bill VanRyswyk</w:t>
            </w:r>
          </w:p>
        </w:tc>
        <w:tc>
          <w:tcPr>
            <w:tcW w:w="2523" w:type="dxa"/>
            <w:vAlign w:val="center"/>
          </w:tcPr>
          <w:p w14:paraId="20514655" w14:textId="77777777" w:rsidR="00183641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Hydrologist</w:t>
            </w:r>
            <w:r w:rsidR="001238B2"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 xml:space="preserve"> Supervisor</w:t>
            </w:r>
          </w:p>
        </w:tc>
        <w:tc>
          <w:tcPr>
            <w:tcW w:w="2897" w:type="dxa"/>
            <w:vAlign w:val="center"/>
          </w:tcPr>
          <w:p w14:paraId="6903E47F" w14:textId="77777777" w:rsidR="00183641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MDA Monitoring Unit</w:t>
            </w:r>
          </w:p>
        </w:tc>
        <w:tc>
          <w:tcPr>
            <w:tcW w:w="2119" w:type="dxa"/>
            <w:vAlign w:val="center"/>
          </w:tcPr>
          <w:p w14:paraId="5561D020" w14:textId="77777777" w:rsidR="00183641" w:rsidRDefault="00E25D04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Co-PI</w:t>
            </w:r>
          </w:p>
        </w:tc>
      </w:tr>
      <w:tr w:rsidR="001238B2" w14:paraId="761E1FC0" w14:textId="77777777" w:rsidTr="001238B2">
        <w:tc>
          <w:tcPr>
            <w:tcW w:w="2495" w:type="dxa"/>
            <w:vAlign w:val="center"/>
          </w:tcPr>
          <w:p w14:paraId="006A5C02" w14:textId="77777777" w:rsidR="001238B2" w:rsidRDefault="001238B2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Cathy Villas-Horns</w:t>
            </w:r>
          </w:p>
        </w:tc>
        <w:tc>
          <w:tcPr>
            <w:tcW w:w="2523" w:type="dxa"/>
            <w:vAlign w:val="center"/>
          </w:tcPr>
          <w:p w14:paraId="0B587041" w14:textId="77777777" w:rsidR="001238B2" w:rsidRDefault="001238B2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Hydrologist Supervisor</w:t>
            </w:r>
          </w:p>
        </w:tc>
        <w:tc>
          <w:tcPr>
            <w:tcW w:w="2897" w:type="dxa"/>
            <w:vAlign w:val="center"/>
          </w:tcPr>
          <w:p w14:paraId="5AD71194" w14:textId="77777777" w:rsidR="001238B2" w:rsidRDefault="001238B2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MDA Incident Response Unit</w:t>
            </w:r>
          </w:p>
        </w:tc>
        <w:tc>
          <w:tcPr>
            <w:tcW w:w="2119" w:type="dxa"/>
            <w:vAlign w:val="center"/>
          </w:tcPr>
          <w:p w14:paraId="07CA474E" w14:textId="77777777" w:rsidR="001238B2" w:rsidRDefault="00E25D04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Co-PI</w:t>
            </w:r>
          </w:p>
        </w:tc>
      </w:tr>
    </w:tbl>
    <w:p w14:paraId="7CB4ED3A" w14:textId="77777777" w:rsidR="00165D34" w:rsidRDefault="00207CC0">
      <w:pPr>
        <w:spacing w:after="0" w:line="259" w:lineRule="auto"/>
        <w:ind w:left="0" w:firstLine="0"/>
        <w:rPr>
          <w:b/>
          <w:i w:val="0"/>
        </w:rPr>
      </w:pPr>
      <w:r>
        <w:rPr>
          <w:b/>
          <w:i w:val="0"/>
        </w:rPr>
        <w:t xml:space="preserve"> </w:t>
      </w:r>
    </w:p>
    <w:p w14:paraId="43FDBA3D" w14:textId="77777777" w:rsidR="00183641" w:rsidRDefault="00183641" w:rsidP="00183641">
      <w:pPr>
        <w:pStyle w:val="Bodycopy"/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B.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NOT receiving ENRTF funding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99"/>
        <w:gridCol w:w="2502"/>
        <w:gridCol w:w="2914"/>
        <w:gridCol w:w="2119"/>
      </w:tblGrid>
      <w:tr w:rsidR="00183641" w14:paraId="72948932" w14:textId="77777777" w:rsidTr="001238B2">
        <w:tc>
          <w:tcPr>
            <w:tcW w:w="2499" w:type="dxa"/>
          </w:tcPr>
          <w:p w14:paraId="77DE8CD9" w14:textId="77777777" w:rsidR="00183641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Name</w:t>
            </w:r>
          </w:p>
        </w:tc>
        <w:tc>
          <w:tcPr>
            <w:tcW w:w="2502" w:type="dxa"/>
          </w:tcPr>
          <w:p w14:paraId="2FCE671B" w14:textId="77777777" w:rsidR="00183641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Title</w:t>
            </w:r>
          </w:p>
        </w:tc>
        <w:tc>
          <w:tcPr>
            <w:tcW w:w="2914" w:type="dxa"/>
          </w:tcPr>
          <w:p w14:paraId="1C563D78" w14:textId="77777777" w:rsidR="00183641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Affiliation</w:t>
            </w:r>
          </w:p>
        </w:tc>
        <w:tc>
          <w:tcPr>
            <w:tcW w:w="2119" w:type="dxa"/>
          </w:tcPr>
          <w:p w14:paraId="3380E316" w14:textId="77777777" w:rsidR="00183641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Role</w:t>
            </w:r>
          </w:p>
        </w:tc>
      </w:tr>
      <w:tr w:rsidR="00183641" w14:paraId="293B18B6" w14:textId="77777777" w:rsidTr="001238B2">
        <w:tc>
          <w:tcPr>
            <w:tcW w:w="2499" w:type="dxa"/>
            <w:vAlign w:val="center"/>
          </w:tcPr>
          <w:p w14:paraId="47604AEF" w14:textId="77777777" w:rsidR="00183641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Steve Robertson</w:t>
            </w:r>
          </w:p>
        </w:tc>
        <w:tc>
          <w:tcPr>
            <w:tcW w:w="2502" w:type="dxa"/>
            <w:vAlign w:val="center"/>
          </w:tcPr>
          <w:p w14:paraId="542791C2" w14:textId="14AEBBDC" w:rsidR="00183641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Hydrologist</w:t>
            </w:r>
            <w:r w:rsidR="00B310BC"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 xml:space="preserve"> Supervisor</w:t>
            </w:r>
          </w:p>
        </w:tc>
        <w:tc>
          <w:tcPr>
            <w:tcW w:w="2914" w:type="dxa"/>
            <w:vAlign w:val="center"/>
          </w:tcPr>
          <w:p w14:paraId="0D0F9EA4" w14:textId="77777777" w:rsidR="00183641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MDH</w:t>
            </w:r>
          </w:p>
        </w:tc>
        <w:tc>
          <w:tcPr>
            <w:tcW w:w="2119" w:type="dxa"/>
            <w:vAlign w:val="center"/>
          </w:tcPr>
          <w:p w14:paraId="2B45A0EB" w14:textId="77777777" w:rsidR="00183641" w:rsidRDefault="00183641" w:rsidP="002346BC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Technical advisor</w:t>
            </w:r>
          </w:p>
        </w:tc>
      </w:tr>
    </w:tbl>
    <w:p w14:paraId="052EB4EA" w14:textId="77777777" w:rsidR="00082013" w:rsidRDefault="00082013" w:rsidP="00082013">
      <w:pPr>
        <w:spacing w:after="120" w:line="259" w:lineRule="auto"/>
        <w:ind w:left="0" w:firstLine="0"/>
        <w:rPr>
          <w:b/>
          <w:i w:val="0"/>
        </w:rPr>
      </w:pPr>
    </w:p>
    <w:p w14:paraId="67F1D664" w14:textId="62C39B6E" w:rsidR="00165D34" w:rsidRDefault="00207CC0" w:rsidP="00082013">
      <w:pPr>
        <w:spacing w:after="120" w:line="259" w:lineRule="auto"/>
        <w:ind w:left="0" w:firstLine="0"/>
      </w:pPr>
      <w:r>
        <w:rPr>
          <w:b/>
          <w:i w:val="0"/>
        </w:rPr>
        <w:t xml:space="preserve">LONG-TERM IMPLEMENTATION AND FUNDING: </w:t>
      </w:r>
    </w:p>
    <w:p w14:paraId="6B0C022D" w14:textId="1153B3C6" w:rsidR="00906B36" w:rsidRPr="00CC44BC" w:rsidRDefault="00E25CDC">
      <w:pPr>
        <w:ind w:left="-5"/>
        <w:rPr>
          <w:i w:val="0"/>
        </w:rPr>
      </w:pPr>
      <w:r>
        <w:rPr>
          <w:i w:val="0"/>
          <w:iCs/>
        </w:rPr>
        <w:t xml:space="preserve">If the </w:t>
      </w:r>
      <w:r w:rsidR="004203A5">
        <w:rPr>
          <w:i w:val="0"/>
          <w:iCs/>
        </w:rPr>
        <w:t xml:space="preserve">initial </w:t>
      </w:r>
      <w:r>
        <w:rPr>
          <w:i w:val="0"/>
          <w:iCs/>
        </w:rPr>
        <w:t>LC-MS/MS direct inject method development is successful</w:t>
      </w:r>
      <w:r w:rsidR="00BD5987">
        <w:rPr>
          <w:i w:val="0"/>
          <w:iCs/>
        </w:rPr>
        <w:t>,</w:t>
      </w:r>
      <w:r>
        <w:rPr>
          <w:i w:val="0"/>
          <w:iCs/>
        </w:rPr>
        <w:t xml:space="preserve"> the MDA will </w:t>
      </w:r>
      <w:r w:rsidR="00C9443E">
        <w:rPr>
          <w:i w:val="0"/>
          <w:iCs/>
        </w:rPr>
        <w:t>leverage this success</w:t>
      </w:r>
      <w:r>
        <w:rPr>
          <w:i w:val="0"/>
          <w:iCs/>
        </w:rPr>
        <w:t xml:space="preserve"> to secure a second instrument</w:t>
      </w:r>
      <w:r w:rsidR="00C9443E">
        <w:rPr>
          <w:i w:val="0"/>
          <w:iCs/>
        </w:rPr>
        <w:t xml:space="preserve"> from other funding sources</w:t>
      </w:r>
      <w:r w:rsidR="00F623B2">
        <w:rPr>
          <w:i w:val="0"/>
          <w:iCs/>
        </w:rPr>
        <w:t>. This will allow MDA</w:t>
      </w:r>
      <w:r w:rsidR="00C9443E">
        <w:rPr>
          <w:i w:val="0"/>
          <w:iCs/>
        </w:rPr>
        <w:t xml:space="preserve"> </w:t>
      </w:r>
      <w:r>
        <w:rPr>
          <w:i w:val="0"/>
          <w:iCs/>
        </w:rPr>
        <w:t xml:space="preserve">to fully convert </w:t>
      </w:r>
      <w:r w:rsidR="00F623B2">
        <w:rPr>
          <w:i w:val="0"/>
          <w:iCs/>
        </w:rPr>
        <w:t>the</w:t>
      </w:r>
      <w:r>
        <w:rPr>
          <w:i w:val="0"/>
          <w:iCs/>
        </w:rPr>
        <w:t xml:space="preserve"> LC-MS/MS </w:t>
      </w:r>
      <w:r w:rsidR="009C670B">
        <w:rPr>
          <w:i w:val="0"/>
          <w:iCs/>
        </w:rPr>
        <w:t xml:space="preserve">water analysis </w:t>
      </w:r>
      <w:r>
        <w:rPr>
          <w:i w:val="0"/>
          <w:iCs/>
        </w:rPr>
        <w:t>methods to a direct inject platform</w:t>
      </w:r>
      <w:r w:rsidR="004203A5">
        <w:rPr>
          <w:i w:val="0"/>
          <w:iCs/>
        </w:rPr>
        <w:t xml:space="preserve">. </w:t>
      </w:r>
      <w:r w:rsidR="00F623B2">
        <w:rPr>
          <w:i w:val="0"/>
          <w:iCs/>
        </w:rPr>
        <w:t>Combined with</w:t>
      </w:r>
      <w:r w:rsidR="00F623B2" w:rsidRPr="00CC44BC">
        <w:rPr>
          <w:i w:val="0"/>
          <w:iCs/>
        </w:rPr>
        <w:t xml:space="preserve"> </w:t>
      </w:r>
      <w:r w:rsidR="008C09F1" w:rsidRPr="00CC44BC">
        <w:rPr>
          <w:i w:val="0"/>
          <w:iCs/>
        </w:rPr>
        <w:t xml:space="preserve">dedicated funds from MDA and supplemental funds received from the Clean Water Land and Legacy </w:t>
      </w:r>
      <w:r>
        <w:rPr>
          <w:i w:val="0"/>
          <w:iCs/>
        </w:rPr>
        <w:t xml:space="preserve">Act </w:t>
      </w:r>
      <w:r w:rsidR="008C09F1" w:rsidRPr="00CC44BC">
        <w:rPr>
          <w:i w:val="0"/>
          <w:iCs/>
        </w:rPr>
        <w:t>for staffing and support</w:t>
      </w:r>
      <w:r w:rsidR="00C92D9B">
        <w:rPr>
          <w:i w:val="0"/>
          <w:iCs/>
        </w:rPr>
        <w:t>,</w:t>
      </w:r>
      <w:r w:rsidR="008C09F1" w:rsidRPr="00CC44BC">
        <w:rPr>
          <w:i w:val="0"/>
          <w:iCs/>
        </w:rPr>
        <w:t xml:space="preserve"> i</w:t>
      </w:r>
      <w:r w:rsidR="00906B36" w:rsidRPr="00CC44BC">
        <w:rPr>
          <w:i w:val="0"/>
          <w:iCs/>
        </w:rPr>
        <w:t xml:space="preserve">t is anticipated that the equipment purchased through this project will continue to meet Minnesota’s pesticide </w:t>
      </w:r>
      <w:r w:rsidR="005D2E68" w:rsidRPr="00CC44BC">
        <w:rPr>
          <w:i w:val="0"/>
          <w:iCs/>
        </w:rPr>
        <w:t xml:space="preserve">water </w:t>
      </w:r>
      <w:r w:rsidR="00906B36" w:rsidRPr="00CC44BC">
        <w:rPr>
          <w:i w:val="0"/>
          <w:iCs/>
        </w:rPr>
        <w:t>monitoring needs for at least a decade</w:t>
      </w:r>
      <w:r w:rsidR="00906B36" w:rsidRPr="00871EDC">
        <w:rPr>
          <w:i w:val="0"/>
          <w:iCs/>
        </w:rPr>
        <w:t xml:space="preserve">. </w:t>
      </w:r>
      <w:r w:rsidR="00CF7A53" w:rsidRPr="00871EDC">
        <w:rPr>
          <w:i w:val="0"/>
          <w:iCs/>
        </w:rPr>
        <w:t xml:space="preserve">The current LC-MS/MS machines will be transitioned for </w:t>
      </w:r>
      <w:r w:rsidR="005C6E10" w:rsidRPr="00871EDC">
        <w:rPr>
          <w:i w:val="0"/>
          <w:iCs/>
        </w:rPr>
        <w:t>high level incident response or misuse water samples</w:t>
      </w:r>
      <w:r w:rsidR="00AC2991">
        <w:rPr>
          <w:i w:val="0"/>
          <w:iCs/>
        </w:rPr>
        <w:t>.</w:t>
      </w:r>
      <w:r w:rsidR="00CF7A53">
        <w:rPr>
          <w:i w:val="0"/>
          <w:iCs/>
        </w:rPr>
        <w:t xml:space="preserve"> </w:t>
      </w:r>
      <w:r w:rsidR="00906B36" w:rsidRPr="00CC44BC">
        <w:rPr>
          <w:i w:val="0"/>
          <w:iCs/>
        </w:rPr>
        <w:t xml:space="preserve">Each year the target </w:t>
      </w:r>
      <w:r w:rsidR="009C670B">
        <w:rPr>
          <w:i w:val="0"/>
          <w:iCs/>
        </w:rPr>
        <w:t>pestici</w:t>
      </w:r>
      <w:r w:rsidR="009C670B" w:rsidRPr="00CC44BC">
        <w:rPr>
          <w:i w:val="0"/>
          <w:iCs/>
        </w:rPr>
        <w:t xml:space="preserve">de </w:t>
      </w:r>
      <w:r w:rsidR="00906B36" w:rsidRPr="00CC44BC">
        <w:rPr>
          <w:i w:val="0"/>
          <w:iCs/>
        </w:rPr>
        <w:t>list will be reviewed and appropriate</w:t>
      </w:r>
      <w:r w:rsidR="008C09F1" w:rsidRPr="00CC44BC">
        <w:rPr>
          <w:i w:val="0"/>
          <w:iCs/>
        </w:rPr>
        <w:t xml:space="preserve"> adjustment made based upon changing pesticide use</w:t>
      </w:r>
      <w:r w:rsidR="004203A5">
        <w:rPr>
          <w:i w:val="0"/>
          <w:iCs/>
        </w:rPr>
        <w:t>,</w:t>
      </w:r>
      <w:r w:rsidR="008C09F1" w:rsidRPr="00CC44BC">
        <w:rPr>
          <w:i w:val="0"/>
          <w:iCs/>
        </w:rPr>
        <w:t xml:space="preserve"> environmental fate </w:t>
      </w:r>
      <w:r w:rsidR="004203A5">
        <w:rPr>
          <w:i w:val="0"/>
          <w:iCs/>
        </w:rPr>
        <w:t>and</w:t>
      </w:r>
      <w:r w:rsidR="008C09F1" w:rsidRPr="00CC44BC">
        <w:rPr>
          <w:i w:val="0"/>
          <w:iCs/>
        </w:rPr>
        <w:t xml:space="preserve"> toxicity information and the previous </w:t>
      </w:r>
      <w:r w:rsidR="00CC44BC" w:rsidRPr="00CC44BC">
        <w:rPr>
          <w:i w:val="0"/>
          <w:iCs/>
        </w:rPr>
        <w:t>year’s</w:t>
      </w:r>
      <w:r w:rsidR="008C09F1" w:rsidRPr="00CC44BC">
        <w:rPr>
          <w:i w:val="0"/>
          <w:iCs/>
        </w:rPr>
        <w:t xml:space="preserve"> pesticide detection patterns.</w:t>
      </w:r>
      <w:r w:rsidR="00906B36" w:rsidRPr="00CC44BC">
        <w:rPr>
          <w:i w:val="0"/>
          <w:iCs/>
        </w:rPr>
        <w:t xml:space="preserve"> </w:t>
      </w:r>
      <w:r w:rsidR="004203A5">
        <w:rPr>
          <w:i w:val="0"/>
          <w:iCs/>
        </w:rPr>
        <w:t>The successful implementation of this project will allow Minnesota to continue as a national leader</w:t>
      </w:r>
      <w:r w:rsidR="00F623B2">
        <w:rPr>
          <w:i w:val="0"/>
          <w:iCs/>
        </w:rPr>
        <w:t xml:space="preserve"> in the area of pesticide water quality monitoring.</w:t>
      </w:r>
      <w:r w:rsidR="004203A5">
        <w:rPr>
          <w:i w:val="0"/>
          <w:iCs/>
        </w:rPr>
        <w:t xml:space="preserve"> </w:t>
      </w:r>
      <w:r w:rsidR="00906B36" w:rsidRPr="00CC44BC">
        <w:rPr>
          <w:i w:val="0"/>
          <w:iCs/>
        </w:rPr>
        <w:t xml:space="preserve">The project is proposed </w:t>
      </w:r>
      <w:r w:rsidR="004023F0">
        <w:rPr>
          <w:i w:val="0"/>
          <w:iCs/>
        </w:rPr>
        <w:t xml:space="preserve">to last </w:t>
      </w:r>
      <w:r w:rsidR="00906B36" w:rsidRPr="00CC44BC">
        <w:rPr>
          <w:i w:val="0"/>
          <w:iCs/>
        </w:rPr>
        <w:t>2</w:t>
      </w:r>
      <w:r w:rsidR="004023F0">
        <w:rPr>
          <w:i w:val="0"/>
          <w:iCs/>
        </w:rPr>
        <w:t xml:space="preserve"> </w:t>
      </w:r>
      <w:r w:rsidR="00906B36" w:rsidRPr="00CC44BC">
        <w:rPr>
          <w:i w:val="0"/>
          <w:iCs/>
        </w:rPr>
        <w:t>year</w:t>
      </w:r>
      <w:r w:rsidR="004023F0">
        <w:rPr>
          <w:i w:val="0"/>
          <w:iCs/>
        </w:rPr>
        <w:t>s</w:t>
      </w:r>
      <w:r w:rsidR="00906B36" w:rsidRPr="00CC44BC">
        <w:rPr>
          <w:i w:val="0"/>
          <w:iCs/>
        </w:rPr>
        <w:t xml:space="preserve">, July 2020 – </w:t>
      </w:r>
      <w:r w:rsidR="00AD0BFC">
        <w:rPr>
          <w:i w:val="0"/>
          <w:iCs/>
        </w:rPr>
        <w:t xml:space="preserve">June </w:t>
      </w:r>
      <w:r w:rsidR="00906B36" w:rsidRPr="00CC44BC">
        <w:rPr>
          <w:i w:val="0"/>
          <w:iCs/>
        </w:rPr>
        <w:t>2022.</w:t>
      </w:r>
    </w:p>
    <w:p w14:paraId="48631939" w14:textId="22E73F59" w:rsidR="00165D34" w:rsidRDefault="00165D34" w:rsidP="005324C2">
      <w:pPr>
        <w:spacing w:after="7" w:line="250" w:lineRule="auto"/>
        <w:ind w:left="70" w:firstLine="0"/>
        <w:jc w:val="center"/>
      </w:pPr>
    </w:p>
    <w:sectPr w:rsidR="00165D34">
      <w:pgSz w:w="12240" w:h="15840"/>
      <w:pgMar w:top="691" w:right="1116" w:bottom="71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583"/>
    <w:multiLevelType w:val="hybridMultilevel"/>
    <w:tmpl w:val="453A4664"/>
    <w:lvl w:ilvl="0" w:tplc="EBF01C10">
      <w:start w:val="3"/>
      <w:numFmt w:val="upperRoman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5A70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F01A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5AAC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8D8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46C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FE47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A7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EFA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295D04"/>
    <w:multiLevelType w:val="hybridMultilevel"/>
    <w:tmpl w:val="708ABE38"/>
    <w:lvl w:ilvl="0" w:tplc="0D5E24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C3854">
      <w:start w:val="3"/>
      <w:numFmt w:val="upperLetter"/>
      <w:lvlText w:val="%2."/>
      <w:lvlJc w:val="left"/>
      <w:pPr>
        <w:ind w:left="7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257C6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C2B08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A98A0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63532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04EE0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CD7CE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A8C12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9A6536"/>
    <w:multiLevelType w:val="hybridMultilevel"/>
    <w:tmpl w:val="153C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773C0"/>
    <w:multiLevelType w:val="hybridMultilevel"/>
    <w:tmpl w:val="D9EE107C"/>
    <w:lvl w:ilvl="0" w:tplc="C8C4ACCC">
      <w:start w:val="1"/>
      <w:numFmt w:val="upperRoman"/>
      <w:lvlText w:val="%1."/>
      <w:lvlJc w:val="left"/>
      <w:pPr>
        <w:ind w:left="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AF6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A0F3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6D1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84DC5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1E1E5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E5DF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66CA4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9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D2092C"/>
    <w:multiLevelType w:val="hybridMultilevel"/>
    <w:tmpl w:val="06A41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0E525B"/>
    <w:multiLevelType w:val="hybridMultilevel"/>
    <w:tmpl w:val="E3B4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34"/>
    <w:rsid w:val="000132C6"/>
    <w:rsid w:val="00034CAB"/>
    <w:rsid w:val="00052D61"/>
    <w:rsid w:val="00082013"/>
    <w:rsid w:val="000C320F"/>
    <w:rsid w:val="000C36BE"/>
    <w:rsid w:val="000C7AFB"/>
    <w:rsid w:val="000E6ACD"/>
    <w:rsid w:val="000E7DEE"/>
    <w:rsid w:val="000F08F2"/>
    <w:rsid w:val="000F1159"/>
    <w:rsid w:val="000F13F7"/>
    <w:rsid w:val="000F3FC9"/>
    <w:rsid w:val="000F520B"/>
    <w:rsid w:val="001134D0"/>
    <w:rsid w:val="001238B2"/>
    <w:rsid w:val="0013769D"/>
    <w:rsid w:val="0015596D"/>
    <w:rsid w:val="00165D34"/>
    <w:rsid w:val="00167940"/>
    <w:rsid w:val="0018018C"/>
    <w:rsid w:val="00183641"/>
    <w:rsid w:val="001A4001"/>
    <w:rsid w:val="001A4DC7"/>
    <w:rsid w:val="001B2AF4"/>
    <w:rsid w:val="00200FF7"/>
    <w:rsid w:val="0020628E"/>
    <w:rsid w:val="00207051"/>
    <w:rsid w:val="00207CC0"/>
    <w:rsid w:val="0022391E"/>
    <w:rsid w:val="002310D8"/>
    <w:rsid w:val="0026221D"/>
    <w:rsid w:val="00297E0C"/>
    <w:rsid w:val="002C1E0F"/>
    <w:rsid w:val="002E61CC"/>
    <w:rsid w:val="002F145F"/>
    <w:rsid w:val="00302AA4"/>
    <w:rsid w:val="00321942"/>
    <w:rsid w:val="00351AAD"/>
    <w:rsid w:val="00365FC1"/>
    <w:rsid w:val="0037310C"/>
    <w:rsid w:val="00395CC2"/>
    <w:rsid w:val="003B309F"/>
    <w:rsid w:val="003B34D3"/>
    <w:rsid w:val="003B6989"/>
    <w:rsid w:val="003C19F6"/>
    <w:rsid w:val="003C362C"/>
    <w:rsid w:val="003E4C22"/>
    <w:rsid w:val="003F1260"/>
    <w:rsid w:val="004023F0"/>
    <w:rsid w:val="004203A5"/>
    <w:rsid w:val="00452E8C"/>
    <w:rsid w:val="00495C2E"/>
    <w:rsid w:val="00496091"/>
    <w:rsid w:val="004A779A"/>
    <w:rsid w:val="004D003E"/>
    <w:rsid w:val="004F0271"/>
    <w:rsid w:val="005022F0"/>
    <w:rsid w:val="00531609"/>
    <w:rsid w:val="005324C2"/>
    <w:rsid w:val="0054635E"/>
    <w:rsid w:val="00550A35"/>
    <w:rsid w:val="005616CB"/>
    <w:rsid w:val="005A0018"/>
    <w:rsid w:val="005B65D5"/>
    <w:rsid w:val="005C1D8A"/>
    <w:rsid w:val="005C6713"/>
    <w:rsid w:val="005C6E10"/>
    <w:rsid w:val="005D2E68"/>
    <w:rsid w:val="005D487D"/>
    <w:rsid w:val="005E1BE9"/>
    <w:rsid w:val="005F41DE"/>
    <w:rsid w:val="005F7569"/>
    <w:rsid w:val="00604B9A"/>
    <w:rsid w:val="0067366F"/>
    <w:rsid w:val="0069331C"/>
    <w:rsid w:val="006B3A7E"/>
    <w:rsid w:val="006E1040"/>
    <w:rsid w:val="006E268C"/>
    <w:rsid w:val="006E7422"/>
    <w:rsid w:val="006F1DED"/>
    <w:rsid w:val="00703A8B"/>
    <w:rsid w:val="00724283"/>
    <w:rsid w:val="007865A6"/>
    <w:rsid w:val="00794802"/>
    <w:rsid w:val="0081187D"/>
    <w:rsid w:val="00812C0D"/>
    <w:rsid w:val="00840F1A"/>
    <w:rsid w:val="00871EDC"/>
    <w:rsid w:val="00873071"/>
    <w:rsid w:val="008C09F1"/>
    <w:rsid w:val="009019FC"/>
    <w:rsid w:val="00906B36"/>
    <w:rsid w:val="00910077"/>
    <w:rsid w:val="00912260"/>
    <w:rsid w:val="00930477"/>
    <w:rsid w:val="00945B66"/>
    <w:rsid w:val="009647A5"/>
    <w:rsid w:val="009700D9"/>
    <w:rsid w:val="009741F5"/>
    <w:rsid w:val="009B546E"/>
    <w:rsid w:val="009C670B"/>
    <w:rsid w:val="00A07BDA"/>
    <w:rsid w:val="00A1041A"/>
    <w:rsid w:val="00A14634"/>
    <w:rsid w:val="00A55A7E"/>
    <w:rsid w:val="00A65B82"/>
    <w:rsid w:val="00A75781"/>
    <w:rsid w:val="00A83FC2"/>
    <w:rsid w:val="00AC2991"/>
    <w:rsid w:val="00AD0BFC"/>
    <w:rsid w:val="00AE7E7E"/>
    <w:rsid w:val="00B04463"/>
    <w:rsid w:val="00B310BC"/>
    <w:rsid w:val="00B33A01"/>
    <w:rsid w:val="00B35AE4"/>
    <w:rsid w:val="00B509FF"/>
    <w:rsid w:val="00B8060A"/>
    <w:rsid w:val="00BD2C24"/>
    <w:rsid w:val="00BD5987"/>
    <w:rsid w:val="00BE0D37"/>
    <w:rsid w:val="00C054D9"/>
    <w:rsid w:val="00C47870"/>
    <w:rsid w:val="00C51281"/>
    <w:rsid w:val="00C612E5"/>
    <w:rsid w:val="00C76FB9"/>
    <w:rsid w:val="00C92D9B"/>
    <w:rsid w:val="00C9443E"/>
    <w:rsid w:val="00CB5816"/>
    <w:rsid w:val="00CC44BC"/>
    <w:rsid w:val="00CE1053"/>
    <w:rsid w:val="00CF7A53"/>
    <w:rsid w:val="00D13828"/>
    <w:rsid w:val="00D33717"/>
    <w:rsid w:val="00D8235A"/>
    <w:rsid w:val="00DE642D"/>
    <w:rsid w:val="00E156BE"/>
    <w:rsid w:val="00E25CDC"/>
    <w:rsid w:val="00E25D04"/>
    <w:rsid w:val="00E306D4"/>
    <w:rsid w:val="00E3099F"/>
    <w:rsid w:val="00E36EFF"/>
    <w:rsid w:val="00E71EE2"/>
    <w:rsid w:val="00EA70F6"/>
    <w:rsid w:val="00ED5C59"/>
    <w:rsid w:val="00EF040A"/>
    <w:rsid w:val="00EF3B15"/>
    <w:rsid w:val="00EF463E"/>
    <w:rsid w:val="00F10860"/>
    <w:rsid w:val="00F301D9"/>
    <w:rsid w:val="00F56BE2"/>
    <w:rsid w:val="00F623B2"/>
    <w:rsid w:val="00F83CC0"/>
    <w:rsid w:val="00FC20EB"/>
    <w:rsid w:val="00FC4469"/>
    <w:rsid w:val="00FC4C39"/>
    <w:rsid w:val="00FC51EA"/>
    <w:rsid w:val="00FC5E78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F356"/>
  <w15:docId w15:val="{4F51334E-D8D4-4EC9-AA0B-C6AFB32B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B309F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i w:val="0"/>
      <w:color w:val="auto"/>
    </w:rPr>
  </w:style>
  <w:style w:type="table" w:styleId="TableGrid0">
    <w:name w:val="Table Grid"/>
    <w:basedOn w:val="TableNormal"/>
    <w:uiPriority w:val="59"/>
    <w:rsid w:val="00297E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copy">
    <w:name w:val="Body copy"/>
    <w:rsid w:val="00297E0C"/>
    <w:pPr>
      <w:spacing w:before="120" w:after="0" w:line="280" w:lineRule="atLeast"/>
    </w:pPr>
    <w:rPr>
      <w:rFonts w:ascii="Arial" w:eastAsia="Times New Roman" w:hAnsi="Arial" w:cs="Times New Roman"/>
      <w:snapToGrid w:val="0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BDA"/>
    <w:rPr>
      <w:rFonts w:ascii="Segoe UI" w:eastAsia="Calibri" w:hAnsi="Segoe UI" w:cs="Segoe UI"/>
      <w:i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0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40A"/>
    <w:rPr>
      <w:rFonts w:ascii="Calibri" w:eastAsia="Calibri" w:hAnsi="Calibri" w:cs="Calibri"/>
      <w:i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EE2"/>
    <w:rPr>
      <w:rFonts w:ascii="Calibri" w:eastAsia="Calibri" w:hAnsi="Calibri" w:cs="Calibri"/>
      <w:b/>
      <w:bCs/>
      <w:i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Dept. of Agriculture | MN Board of Animal Health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mbanker</dc:creator>
  <cp:keywords/>
  <cp:lastModifiedBy>Johnson, Heather (MDA)</cp:lastModifiedBy>
  <cp:revision>3</cp:revision>
  <cp:lastPrinted>2019-04-15T17:43:00Z</cp:lastPrinted>
  <dcterms:created xsi:type="dcterms:W3CDTF">2019-04-15T18:06:00Z</dcterms:created>
  <dcterms:modified xsi:type="dcterms:W3CDTF">2019-04-15T18:12:00Z</dcterms:modified>
</cp:coreProperties>
</file>