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439B6" w14:textId="77777777" w:rsidR="00C94AE7" w:rsidRDefault="00C94AE7">
      <w:pPr>
        <w:jc w:val="center"/>
      </w:pPr>
    </w:p>
    <w:p w14:paraId="6A46DA46" w14:textId="77777777" w:rsidR="00C94AE7" w:rsidRDefault="007B71A6">
      <w:pPr>
        <w:rPr>
          <w:i/>
        </w:rPr>
      </w:pPr>
      <w:r>
        <w:rPr>
          <w:b/>
        </w:rPr>
        <w:t xml:space="preserve">PROJECT TITLE: Timing is </w:t>
      </w:r>
      <w:r w:rsidR="00AF5066">
        <w:rPr>
          <w:b/>
        </w:rPr>
        <w:t>e</w:t>
      </w:r>
      <w:r>
        <w:rPr>
          <w:b/>
        </w:rPr>
        <w:t>verything: When is groundwater in MN recharged?</w:t>
      </w:r>
    </w:p>
    <w:p w14:paraId="3B30A37F" w14:textId="77777777" w:rsidR="00C94AE7" w:rsidRDefault="00C94AE7"/>
    <w:p w14:paraId="53FD0079" w14:textId="77777777" w:rsidR="00C94AE7" w:rsidRDefault="007B71A6">
      <w:r>
        <w:rPr>
          <w:b/>
        </w:rPr>
        <w:t>I. PROJECT STATEMENT</w:t>
      </w:r>
    </w:p>
    <w:p w14:paraId="2C080AC9" w14:textId="7DD03170" w:rsidR="00C94AE7" w:rsidRDefault="0012462A">
      <w:pPr>
        <w:spacing w:line="276" w:lineRule="auto"/>
      </w:pPr>
      <w:r>
        <w:t>Shallow</w:t>
      </w:r>
      <w:r w:rsidR="007B71A6">
        <w:t xml:space="preserve"> grou</w:t>
      </w:r>
      <w:bookmarkStart w:id="0" w:name="_GoBack"/>
      <w:bookmarkEnd w:id="0"/>
      <w:r w:rsidR="007B71A6">
        <w:t xml:space="preserve">ndwater is essential to the state of Minnesota, </w:t>
      </w:r>
      <w:r>
        <w:t>where</w:t>
      </w:r>
      <w:r w:rsidR="006F7805">
        <w:t xml:space="preserve">, in addition to maintaining streamflow during </w:t>
      </w:r>
      <w:r w:rsidR="00CF67DF">
        <w:t xml:space="preserve">dry </w:t>
      </w:r>
      <w:r w:rsidR="006F7805">
        <w:t>periods,</w:t>
      </w:r>
      <w:r>
        <w:t xml:space="preserve"> it is</w:t>
      </w:r>
      <w:r w:rsidR="007B71A6">
        <w:t xml:space="preserve"> used for municipal</w:t>
      </w:r>
      <w:r w:rsidR="006F7805">
        <w:t xml:space="preserve"> and</w:t>
      </w:r>
      <w:r w:rsidR="007B71A6">
        <w:t xml:space="preserve"> </w:t>
      </w:r>
      <w:r w:rsidR="00CF67DF">
        <w:t>agricultural purposes</w:t>
      </w:r>
      <w:r w:rsidR="007B71A6">
        <w:t xml:space="preserve">. Despite its importance, we do not understand </w:t>
      </w:r>
      <w:r w:rsidR="007B71A6">
        <w:rPr>
          <w:i/>
          <w:u w:val="single"/>
        </w:rPr>
        <w:t xml:space="preserve">when and how much </w:t>
      </w:r>
      <w:r w:rsidR="00B41774">
        <w:rPr>
          <w:i/>
          <w:u w:val="single"/>
        </w:rPr>
        <w:t>precipitation</w:t>
      </w:r>
      <w:r w:rsidR="00B41774">
        <w:t xml:space="preserve"> </w:t>
      </w:r>
      <w:r w:rsidR="007B71A6">
        <w:t xml:space="preserve">makes it into groundwater in our state, particularly in the northern regions. </w:t>
      </w:r>
      <w:r w:rsidR="001F27A7">
        <w:t>I</w:t>
      </w:r>
      <w:r w:rsidR="007B71A6">
        <w:t xml:space="preserve">t is generally thought that </w:t>
      </w:r>
      <w:r w:rsidR="00B41774">
        <w:t xml:space="preserve">most </w:t>
      </w:r>
      <w:r w:rsidR="007B71A6">
        <w:t>groundwater recharge</w:t>
      </w:r>
      <w:r w:rsidR="001F27A7">
        <w:t xml:space="preserve"> in Minnesota</w:t>
      </w:r>
      <w:r w:rsidR="007B71A6">
        <w:t xml:space="preserve"> </w:t>
      </w:r>
      <w:r w:rsidR="00B41774">
        <w:t xml:space="preserve">occurs </w:t>
      </w:r>
      <w:r w:rsidR="007B71A6">
        <w:t>during spring snowmelt</w:t>
      </w:r>
      <w:r w:rsidR="003A54B2">
        <w:t>, after the ground thaws</w:t>
      </w:r>
      <w:r w:rsidR="00B41774">
        <w:t xml:space="preserve"> </w:t>
      </w:r>
      <w:r w:rsidR="003A54B2">
        <w:t>but</w:t>
      </w:r>
      <w:r w:rsidR="00B41774">
        <w:t xml:space="preserve"> before </w:t>
      </w:r>
      <w:r w:rsidR="00E72DF7">
        <w:t>the growing season</w:t>
      </w:r>
      <w:r w:rsidR="007B71A6">
        <w:t xml:space="preserve">. </w:t>
      </w:r>
      <w:r w:rsidR="00B41774">
        <w:t>One implication of this assumption is that warm winters</w:t>
      </w:r>
      <w:r w:rsidR="002C4570">
        <w:t xml:space="preserve"> </w:t>
      </w:r>
      <w:r w:rsidR="00853AC8">
        <w:t>might</w:t>
      </w:r>
      <w:r w:rsidR="00B41774">
        <w:t xml:space="preserve"> lead to reduced snowpack volume and thus reduced groundwater recharge. </w:t>
      </w:r>
      <w:r w:rsidR="007B71A6">
        <w:t>However,</w:t>
      </w:r>
      <w:r>
        <w:t xml:space="preserve"> we suspect that a second ‘window of opportunity’ for recharge in the </w:t>
      </w:r>
      <w:r w:rsidRPr="00CF67DF">
        <w:rPr>
          <w:b/>
        </w:rPr>
        <w:t>autumn</w:t>
      </w:r>
      <w:r w:rsidR="009C7398">
        <w:t>, after leaf-off</w:t>
      </w:r>
      <w:r w:rsidR="003A54B2">
        <w:t xml:space="preserve"> but before the ground freezes</w:t>
      </w:r>
      <w:r w:rsidR="009C7398">
        <w:t>,</w:t>
      </w:r>
      <w:r>
        <w:t xml:space="preserve"> is comparable in importance. This autumn recharge</w:t>
      </w:r>
      <w:r w:rsidR="002C4570">
        <w:t xml:space="preserve"> may</w:t>
      </w:r>
      <w:r>
        <w:t xml:space="preserve"> </w:t>
      </w:r>
      <w:r w:rsidR="005702B9">
        <w:t>be</w:t>
      </w:r>
      <w:r>
        <w:t xml:space="preserve"> critical </w:t>
      </w:r>
      <w:r w:rsidR="003A54B2">
        <w:t xml:space="preserve">in </w:t>
      </w:r>
      <w:r w:rsidR="006F7805">
        <w:t>maintaining groundwater reservoirs</w:t>
      </w:r>
      <w:r>
        <w:t xml:space="preserve"> </w:t>
      </w:r>
      <w:r w:rsidR="002C4570">
        <w:t>during warm or dry winters</w:t>
      </w:r>
      <w:r w:rsidR="001F27A7">
        <w:t xml:space="preserve"> where spring recharge is reduced</w:t>
      </w:r>
      <w:r w:rsidR="002C4570">
        <w:t xml:space="preserve">. </w:t>
      </w:r>
      <w:r w:rsidR="007B71A6">
        <w:t xml:space="preserve">Understanding the </w:t>
      </w:r>
      <w:r w:rsidR="009F7F3F">
        <w:t xml:space="preserve">timing and </w:t>
      </w:r>
      <w:r w:rsidR="007B71A6">
        <w:t xml:space="preserve">amount of groundwater recharge is vitally important for managing these precious stores, especially during periods of extreme drought and flooding. </w:t>
      </w:r>
    </w:p>
    <w:p w14:paraId="4B9278EA" w14:textId="77777777" w:rsidR="00C94AE7" w:rsidRDefault="00C94AE7">
      <w:pPr>
        <w:spacing w:line="276" w:lineRule="auto"/>
      </w:pPr>
    </w:p>
    <w:p w14:paraId="4D35962E" w14:textId="77777777" w:rsidR="00C94AE7" w:rsidRDefault="007B71A6">
      <w:pPr>
        <w:spacing w:line="276" w:lineRule="auto"/>
      </w:pPr>
      <w:r>
        <w:t>Our specific objectives are to:</w:t>
      </w:r>
    </w:p>
    <w:p w14:paraId="1BCF2F24" w14:textId="61D1E7FF" w:rsidR="00C94AE7" w:rsidRDefault="007B71A6">
      <w:pPr>
        <w:numPr>
          <w:ilvl w:val="0"/>
          <w:numId w:val="1"/>
        </w:numPr>
        <w:spacing w:line="276" w:lineRule="auto"/>
      </w:pPr>
      <w:r>
        <w:t>Develop a network of research sites to measure precipitation, soil, and groundwater across the state</w:t>
      </w:r>
      <w:r w:rsidR="00955E98">
        <w:t>.</w:t>
      </w:r>
    </w:p>
    <w:p w14:paraId="7650360A" w14:textId="0E953277" w:rsidR="00C94AE7" w:rsidRDefault="006E0C14">
      <w:pPr>
        <w:numPr>
          <w:ilvl w:val="0"/>
          <w:numId w:val="1"/>
        </w:numPr>
        <w:spacing w:line="276" w:lineRule="auto"/>
      </w:pPr>
      <w:r>
        <w:t xml:space="preserve">Observe </w:t>
      </w:r>
      <w:r w:rsidR="007B71A6">
        <w:t xml:space="preserve">the timing </w:t>
      </w:r>
      <w:r w:rsidR="009C7398">
        <w:t xml:space="preserve">and magnitude </w:t>
      </w:r>
      <w:r w:rsidR="007B71A6">
        <w:t xml:space="preserve">of groundwater recharge (spring, summer, or fall) </w:t>
      </w:r>
      <w:r>
        <w:t xml:space="preserve">at the different sites </w:t>
      </w:r>
      <w:r w:rsidR="007B71A6">
        <w:t>and identify the weather and soil conditions that influence the timing of recharge.</w:t>
      </w:r>
    </w:p>
    <w:p w14:paraId="7E627E35" w14:textId="7E0E8B54" w:rsidR="00C94AE7" w:rsidRDefault="007B71A6">
      <w:pPr>
        <w:numPr>
          <w:ilvl w:val="0"/>
          <w:numId w:val="1"/>
        </w:numPr>
        <w:spacing w:line="276" w:lineRule="auto"/>
      </w:pPr>
      <w:r>
        <w:t>Develop and improve upon models for estimating groundwater recharge</w:t>
      </w:r>
      <w:r w:rsidR="009C7398">
        <w:t xml:space="preserve">, with a focus on </w:t>
      </w:r>
      <w:r w:rsidR="009F7F3F">
        <w:t xml:space="preserve">capturing the interplay between </w:t>
      </w:r>
      <w:r w:rsidR="001F27A7">
        <w:t>soil characteristics (i.e., moisture and temperature)</w:t>
      </w:r>
      <w:r w:rsidR="009F7F3F">
        <w:t xml:space="preserve"> and groundwater infiltration</w:t>
      </w:r>
      <w:r>
        <w:t>.</w:t>
      </w:r>
    </w:p>
    <w:p w14:paraId="2390A194" w14:textId="77777777" w:rsidR="00C94AE7" w:rsidRDefault="00C94AE7"/>
    <w:p w14:paraId="7E937B03" w14:textId="3EDE33B7" w:rsidR="00C94AE7" w:rsidRDefault="00AF5066">
      <w:r>
        <w:t xml:space="preserve">Almost three-quarters of Minnesotans rely on groundwater for drinking water, resulting in over 700 million gallons of water withdrawn per day. </w:t>
      </w:r>
    </w:p>
    <w:p w14:paraId="7AE31088" w14:textId="7277B80F" w:rsidR="00AF5066" w:rsidRDefault="00AF5066" w:rsidP="00AF5066">
      <w:pPr>
        <w:pStyle w:val="ListParagraph"/>
        <w:numPr>
          <w:ilvl w:val="0"/>
          <w:numId w:val="2"/>
        </w:numPr>
      </w:pPr>
      <w:r>
        <w:rPr>
          <w:b/>
        </w:rPr>
        <w:t xml:space="preserve">The Challenge: </w:t>
      </w:r>
      <w:r>
        <w:t xml:space="preserve">Groundwater overuse is of </w:t>
      </w:r>
      <w:r w:rsidR="001F27A7">
        <w:t xml:space="preserve">particular </w:t>
      </w:r>
      <w:r>
        <w:t>concern in the NE, SE, and Metro portions of the state.</w:t>
      </w:r>
      <w:r w:rsidR="009F7F3F">
        <w:t xml:space="preserve"> The sensitivity of groundwater recharge to </w:t>
      </w:r>
      <w:r w:rsidR="002C4570">
        <w:t xml:space="preserve">seasonal </w:t>
      </w:r>
      <w:r w:rsidR="001F27A7">
        <w:t>soil</w:t>
      </w:r>
      <w:r w:rsidR="002C4570">
        <w:t xml:space="preserve"> conditions</w:t>
      </w:r>
      <w:r w:rsidR="009F7F3F">
        <w:t xml:space="preserve"> is not well understood.</w:t>
      </w:r>
    </w:p>
    <w:p w14:paraId="73FE27B7" w14:textId="4C32F948" w:rsidR="00AF5066" w:rsidRDefault="00AF5066" w:rsidP="00AF5066">
      <w:pPr>
        <w:pStyle w:val="ListParagraph"/>
        <w:numPr>
          <w:ilvl w:val="0"/>
          <w:numId w:val="2"/>
        </w:numPr>
      </w:pPr>
      <w:r>
        <w:rPr>
          <w:b/>
        </w:rPr>
        <w:t xml:space="preserve">The Issue: </w:t>
      </w:r>
      <w:r>
        <w:t xml:space="preserve">We need the most scientifically sound models of groundwater recharge to </w:t>
      </w:r>
      <w:r w:rsidR="009F7F3F">
        <w:t xml:space="preserve">predict aquifer response to climate </w:t>
      </w:r>
      <w:r w:rsidR="002C4570">
        <w:t xml:space="preserve">conditions </w:t>
      </w:r>
      <w:r w:rsidR="009F7F3F">
        <w:t xml:space="preserve">and thus </w:t>
      </w:r>
      <w:r>
        <w:t xml:space="preserve">ensure </w:t>
      </w:r>
      <w:r w:rsidR="009F7F3F">
        <w:t xml:space="preserve">acceptable </w:t>
      </w:r>
      <w:r>
        <w:t>withdrawal rates.</w:t>
      </w:r>
    </w:p>
    <w:p w14:paraId="7846907D" w14:textId="19A97D6F" w:rsidR="00AF5066" w:rsidRDefault="00AF5066" w:rsidP="00AF5066">
      <w:pPr>
        <w:pStyle w:val="ListParagraph"/>
        <w:numPr>
          <w:ilvl w:val="0"/>
          <w:numId w:val="2"/>
        </w:numPr>
      </w:pPr>
      <w:r>
        <w:rPr>
          <w:b/>
        </w:rPr>
        <w:t>The Opportunity:</w:t>
      </w:r>
      <w:r>
        <w:t xml:space="preserve"> Current groundwater models</w:t>
      </w:r>
      <w:r w:rsidR="009D5D4B">
        <w:t>—including those embedded within climate models</w:t>
      </w:r>
      <w:r w:rsidR="009F7F3F">
        <w:t>—</w:t>
      </w:r>
      <w:r>
        <w:t xml:space="preserve">are lacking </w:t>
      </w:r>
      <w:r w:rsidR="009F7F3F">
        <w:t xml:space="preserve">in </w:t>
      </w:r>
      <w:r>
        <w:t xml:space="preserve">verifiable field-data about the timing and </w:t>
      </w:r>
      <w:r w:rsidR="009D5D4B">
        <w:t xml:space="preserve">magnitude </w:t>
      </w:r>
      <w:r>
        <w:t xml:space="preserve">of recharge in the </w:t>
      </w:r>
      <w:r w:rsidR="009F7F3F">
        <w:t>cold climate of Minnesota</w:t>
      </w:r>
      <w:r w:rsidR="009D5D4B">
        <w:t>.</w:t>
      </w:r>
      <w:r>
        <w:t xml:space="preserve"> </w:t>
      </w:r>
      <w:r w:rsidR="009D5D4B">
        <w:t>Our</w:t>
      </w:r>
      <w:r>
        <w:t xml:space="preserve"> monitoring </w:t>
      </w:r>
      <w:r w:rsidR="009D5D4B">
        <w:t xml:space="preserve">network </w:t>
      </w:r>
      <w:r>
        <w:t xml:space="preserve">would </w:t>
      </w:r>
      <w:r w:rsidR="00F565F4">
        <w:t xml:space="preserve">provide </w:t>
      </w:r>
      <w:r w:rsidR="001F27A7">
        <w:t>missing field</w:t>
      </w:r>
      <w:r w:rsidR="00F565F4">
        <w:t xml:space="preserve"> data that </w:t>
      </w:r>
      <w:r w:rsidR="001F27A7">
        <w:t>will</w:t>
      </w:r>
      <w:r w:rsidR="00F565F4">
        <w:t xml:space="preserve"> be synthesized to </w:t>
      </w:r>
      <w:r w:rsidR="001F27A7">
        <w:t>improve these models, ensuring</w:t>
      </w:r>
      <w:r>
        <w:t xml:space="preserve"> that they </w:t>
      </w:r>
      <w:r w:rsidR="001F27A7">
        <w:t>accurately represent</w:t>
      </w:r>
      <w:r>
        <w:t xml:space="preserve"> physical </w:t>
      </w:r>
      <w:r w:rsidR="00F565F4">
        <w:t>processes</w:t>
      </w:r>
      <w:r w:rsidR="004E05E8">
        <w:t xml:space="preserve"> controlling recharge</w:t>
      </w:r>
      <w:r>
        <w:t>.</w:t>
      </w:r>
    </w:p>
    <w:p w14:paraId="1F6A02B8" w14:textId="77777777" w:rsidR="00C94AE7" w:rsidRDefault="00C94AE7"/>
    <w:p w14:paraId="639F843D" w14:textId="71748E06" w:rsidR="00C94AE7" w:rsidRDefault="007B71A6">
      <w:r>
        <w:rPr>
          <w:b/>
        </w:rPr>
        <w:t>II. PROJECT ACTIVITIES AND OUTCOMES</w:t>
      </w:r>
    </w:p>
    <w:p w14:paraId="79A0F691" w14:textId="77777777" w:rsidR="00C94AE7" w:rsidRDefault="007B71A6">
      <w:pPr>
        <w:rPr>
          <w:i/>
        </w:rPr>
      </w:pPr>
      <w:r>
        <w:rPr>
          <w:b/>
        </w:rPr>
        <w:t>Activity 1:</w:t>
      </w:r>
      <w:r>
        <w:t xml:space="preserve"> </w:t>
      </w:r>
      <w:r>
        <w:rPr>
          <w:i/>
        </w:rPr>
        <w:t>Establish a network of research sites distributed across the state</w:t>
      </w:r>
    </w:p>
    <w:p w14:paraId="2F2013C9" w14:textId="49A2F947" w:rsidR="00C94AE7" w:rsidRDefault="007B71A6">
      <w:r>
        <w:lastRenderedPageBreak/>
        <w:t xml:space="preserve">We will establish a network of five research sites across different </w:t>
      </w:r>
      <w:r w:rsidR="00BA4A4F">
        <w:t xml:space="preserve">climatic </w:t>
      </w:r>
      <w:r>
        <w:t xml:space="preserve">regions in the state. Where possible, we will overlap our sites with established field-based research sites, </w:t>
      </w:r>
      <w:r w:rsidR="00BA4A4F">
        <w:t xml:space="preserve">thereby leveraging existing facilities and avoiding costly duplication of </w:t>
      </w:r>
      <w:r>
        <w:t>efforts</w:t>
      </w:r>
      <w:r w:rsidR="001F27A7">
        <w:t>. We</w:t>
      </w:r>
      <w:r>
        <w:t xml:space="preserve"> will add to their monitoring with any missing components. At each site we will aim to monitor weather conditions, soil moisture</w:t>
      </w:r>
      <w:r w:rsidR="009D2C19">
        <w:t>/</w:t>
      </w:r>
      <w:r>
        <w:t>temperature at various depths, groundwater, and streamflow. These data will be collected using continuously deployed sensors over a period of three full field seasons (May 2021 - November 2023). Additionally, we will characterize the overlying vegetation, topography, and predominant soils at each study site. Lastly, we will collect water samples periodically from precipitation, soil, groundwater, and streams to better understand water movement and fluxes throughout the system.</w:t>
      </w:r>
    </w:p>
    <w:p w14:paraId="70B19C3F" w14:textId="77777777" w:rsidR="00C94AE7" w:rsidRDefault="00C94AE7"/>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5"/>
        <w:gridCol w:w="1800"/>
        <w:gridCol w:w="1800"/>
      </w:tblGrid>
      <w:tr w:rsidR="009D2C19" w14:paraId="3092DEC5" w14:textId="0CA7BFD0" w:rsidTr="009D2C19">
        <w:tc>
          <w:tcPr>
            <w:tcW w:w="6115" w:type="dxa"/>
          </w:tcPr>
          <w:p w14:paraId="68C4003D" w14:textId="77777777" w:rsidR="009D2C19" w:rsidRDefault="009D2C19">
            <w:pPr>
              <w:rPr>
                <w:b/>
              </w:rPr>
            </w:pPr>
            <w:r>
              <w:rPr>
                <w:b/>
              </w:rPr>
              <w:t>Outcome</w:t>
            </w:r>
          </w:p>
        </w:tc>
        <w:tc>
          <w:tcPr>
            <w:tcW w:w="1800" w:type="dxa"/>
            <w:tcBorders>
              <w:right w:val="single" w:sz="4" w:space="0" w:color="auto"/>
            </w:tcBorders>
          </w:tcPr>
          <w:p w14:paraId="424A1EF8" w14:textId="77777777" w:rsidR="009D2C19" w:rsidRDefault="009D2C19">
            <w:pPr>
              <w:jc w:val="center"/>
              <w:rPr>
                <w:b/>
              </w:rPr>
            </w:pPr>
            <w:r>
              <w:rPr>
                <w:b/>
              </w:rPr>
              <w:t>Completion Date</w:t>
            </w:r>
          </w:p>
        </w:tc>
        <w:tc>
          <w:tcPr>
            <w:tcW w:w="1800" w:type="dxa"/>
            <w:tcBorders>
              <w:top w:val="nil"/>
              <w:left w:val="single" w:sz="4" w:space="0" w:color="auto"/>
              <w:bottom w:val="nil"/>
              <w:right w:val="nil"/>
            </w:tcBorders>
          </w:tcPr>
          <w:p w14:paraId="1A765406" w14:textId="77777777" w:rsidR="009D2C19" w:rsidRDefault="009D2C19">
            <w:pPr>
              <w:jc w:val="center"/>
              <w:rPr>
                <w:b/>
              </w:rPr>
            </w:pPr>
          </w:p>
        </w:tc>
      </w:tr>
      <w:tr w:rsidR="009D2C19" w14:paraId="2860D70F" w14:textId="48822C44" w:rsidTr="009D2C19">
        <w:tc>
          <w:tcPr>
            <w:tcW w:w="6115" w:type="dxa"/>
          </w:tcPr>
          <w:p w14:paraId="0D78FAC5" w14:textId="6C28A28A" w:rsidR="009D2C19" w:rsidRDefault="009D2C19">
            <w:pPr>
              <w:rPr>
                <w:i/>
              </w:rPr>
            </w:pPr>
            <w:r>
              <w:rPr>
                <w:i/>
              </w:rPr>
              <w:t>1.  Identification of five research sites across the state</w:t>
            </w:r>
          </w:p>
        </w:tc>
        <w:tc>
          <w:tcPr>
            <w:tcW w:w="1800" w:type="dxa"/>
            <w:tcBorders>
              <w:right w:val="single" w:sz="4" w:space="0" w:color="auto"/>
            </w:tcBorders>
          </w:tcPr>
          <w:p w14:paraId="75390AD0" w14:textId="77777777" w:rsidR="009D2C19" w:rsidRDefault="009D2C19">
            <w:pPr>
              <w:rPr>
                <w:i/>
              </w:rPr>
            </w:pPr>
            <w:r>
              <w:rPr>
                <w:i/>
              </w:rPr>
              <w:t>December 2020</w:t>
            </w:r>
          </w:p>
        </w:tc>
        <w:tc>
          <w:tcPr>
            <w:tcW w:w="1800" w:type="dxa"/>
            <w:tcBorders>
              <w:top w:val="nil"/>
              <w:left w:val="single" w:sz="4" w:space="0" w:color="auto"/>
              <w:bottom w:val="nil"/>
              <w:right w:val="nil"/>
            </w:tcBorders>
          </w:tcPr>
          <w:p w14:paraId="44E90E7C" w14:textId="77777777" w:rsidR="009D2C19" w:rsidRDefault="009D2C19">
            <w:pPr>
              <w:rPr>
                <w:i/>
              </w:rPr>
            </w:pPr>
          </w:p>
        </w:tc>
      </w:tr>
      <w:tr w:rsidR="009D2C19" w14:paraId="109BA377" w14:textId="3BDD8676" w:rsidTr="009D2C19">
        <w:tc>
          <w:tcPr>
            <w:tcW w:w="6115" w:type="dxa"/>
          </w:tcPr>
          <w:p w14:paraId="262719EA" w14:textId="77777777" w:rsidR="009D2C19" w:rsidRDefault="009D2C19">
            <w:pPr>
              <w:rPr>
                <w:i/>
              </w:rPr>
            </w:pPr>
            <w:r>
              <w:rPr>
                <w:i/>
              </w:rPr>
              <w:t>2.  Installation of monitoring equipment and site-level assessment</w:t>
            </w:r>
          </w:p>
        </w:tc>
        <w:tc>
          <w:tcPr>
            <w:tcW w:w="1800" w:type="dxa"/>
            <w:tcBorders>
              <w:right w:val="single" w:sz="4" w:space="0" w:color="auto"/>
            </w:tcBorders>
          </w:tcPr>
          <w:p w14:paraId="4519FA14" w14:textId="77777777" w:rsidR="009D2C19" w:rsidRDefault="009D2C19">
            <w:pPr>
              <w:rPr>
                <w:i/>
              </w:rPr>
            </w:pPr>
            <w:r>
              <w:rPr>
                <w:i/>
              </w:rPr>
              <w:t>June 2021</w:t>
            </w:r>
          </w:p>
        </w:tc>
        <w:tc>
          <w:tcPr>
            <w:tcW w:w="1800" w:type="dxa"/>
            <w:tcBorders>
              <w:top w:val="nil"/>
              <w:left w:val="single" w:sz="4" w:space="0" w:color="auto"/>
              <w:bottom w:val="nil"/>
              <w:right w:val="nil"/>
            </w:tcBorders>
          </w:tcPr>
          <w:p w14:paraId="3C7C276C" w14:textId="05814B56" w:rsidR="009D2C19" w:rsidRPr="009D2C19" w:rsidRDefault="009D2C19">
            <w:pPr>
              <w:rPr>
                <w:b/>
              </w:rPr>
            </w:pPr>
            <w:r>
              <w:rPr>
                <w:b/>
              </w:rPr>
              <w:t>ENRTF BUDGET:</w:t>
            </w:r>
          </w:p>
        </w:tc>
      </w:tr>
      <w:tr w:rsidR="009D2C19" w14:paraId="41BDB672" w14:textId="020129D0" w:rsidTr="009D2C19">
        <w:tc>
          <w:tcPr>
            <w:tcW w:w="6115" w:type="dxa"/>
          </w:tcPr>
          <w:p w14:paraId="3DDAC9AC" w14:textId="77777777" w:rsidR="009D2C19" w:rsidRDefault="009D2C19">
            <w:pPr>
              <w:rPr>
                <w:i/>
              </w:rPr>
            </w:pPr>
            <w:r>
              <w:rPr>
                <w:i/>
              </w:rPr>
              <w:t>3. Characterization of site topography, soils, and vegetation</w:t>
            </w:r>
          </w:p>
        </w:tc>
        <w:tc>
          <w:tcPr>
            <w:tcW w:w="1800" w:type="dxa"/>
            <w:tcBorders>
              <w:right w:val="single" w:sz="4" w:space="0" w:color="auto"/>
            </w:tcBorders>
          </w:tcPr>
          <w:p w14:paraId="0D77A33B" w14:textId="77777777" w:rsidR="009D2C19" w:rsidRDefault="009D2C19">
            <w:pPr>
              <w:rPr>
                <w:i/>
              </w:rPr>
            </w:pPr>
            <w:r>
              <w:rPr>
                <w:i/>
              </w:rPr>
              <w:t>September 2021</w:t>
            </w:r>
          </w:p>
        </w:tc>
        <w:tc>
          <w:tcPr>
            <w:tcW w:w="1800" w:type="dxa"/>
            <w:tcBorders>
              <w:top w:val="nil"/>
              <w:left w:val="single" w:sz="4" w:space="0" w:color="auto"/>
              <w:bottom w:val="nil"/>
              <w:right w:val="nil"/>
            </w:tcBorders>
          </w:tcPr>
          <w:p w14:paraId="01ADC04C" w14:textId="6C54D85F" w:rsidR="009D2C19" w:rsidRPr="009D2C19" w:rsidRDefault="009D2C19" w:rsidP="002334D4">
            <w:pPr>
              <w:rPr>
                <w:b/>
              </w:rPr>
            </w:pPr>
            <w:r>
              <w:rPr>
                <w:b/>
              </w:rPr>
              <w:t>$</w:t>
            </w:r>
            <w:r w:rsidR="002334D4">
              <w:rPr>
                <w:b/>
              </w:rPr>
              <w:t>456,639</w:t>
            </w:r>
          </w:p>
        </w:tc>
      </w:tr>
      <w:tr w:rsidR="009D2C19" w14:paraId="24CF1E21" w14:textId="01B6CBC7" w:rsidTr="009D2C19">
        <w:tc>
          <w:tcPr>
            <w:tcW w:w="6115" w:type="dxa"/>
          </w:tcPr>
          <w:p w14:paraId="260D0D1B" w14:textId="7CB1D58F" w:rsidR="009D2C19" w:rsidRDefault="009D2C19">
            <w:pPr>
              <w:rPr>
                <w:i/>
              </w:rPr>
            </w:pPr>
            <w:r>
              <w:rPr>
                <w:i/>
              </w:rPr>
              <w:t>4. Periodic collection of water samples for stable isotope analysis</w:t>
            </w:r>
          </w:p>
        </w:tc>
        <w:tc>
          <w:tcPr>
            <w:tcW w:w="1800" w:type="dxa"/>
            <w:tcBorders>
              <w:right w:val="single" w:sz="4" w:space="0" w:color="auto"/>
            </w:tcBorders>
          </w:tcPr>
          <w:p w14:paraId="5DBC888B" w14:textId="77777777" w:rsidR="009D2C19" w:rsidRDefault="009D2C19">
            <w:pPr>
              <w:rPr>
                <w:i/>
              </w:rPr>
            </w:pPr>
            <w:r>
              <w:rPr>
                <w:i/>
              </w:rPr>
              <w:t>November 2024</w:t>
            </w:r>
          </w:p>
        </w:tc>
        <w:tc>
          <w:tcPr>
            <w:tcW w:w="1800" w:type="dxa"/>
            <w:tcBorders>
              <w:top w:val="nil"/>
              <w:left w:val="single" w:sz="4" w:space="0" w:color="auto"/>
              <w:bottom w:val="nil"/>
              <w:right w:val="nil"/>
            </w:tcBorders>
          </w:tcPr>
          <w:p w14:paraId="5CB44330" w14:textId="77777777" w:rsidR="009D2C19" w:rsidRDefault="009D2C19">
            <w:pPr>
              <w:rPr>
                <w:i/>
              </w:rPr>
            </w:pPr>
          </w:p>
        </w:tc>
      </w:tr>
      <w:tr w:rsidR="009D2C19" w14:paraId="1F8E705F" w14:textId="0A827FF8" w:rsidTr="009D2C19">
        <w:tc>
          <w:tcPr>
            <w:tcW w:w="6115" w:type="dxa"/>
          </w:tcPr>
          <w:p w14:paraId="38C3A577" w14:textId="77777777" w:rsidR="009D2C19" w:rsidRDefault="009D2C19">
            <w:pPr>
              <w:rPr>
                <w:i/>
              </w:rPr>
            </w:pPr>
            <w:r>
              <w:rPr>
                <w:i/>
              </w:rPr>
              <w:t>5. Continuous monitoring of weather and hydrology at each site</w:t>
            </w:r>
          </w:p>
        </w:tc>
        <w:tc>
          <w:tcPr>
            <w:tcW w:w="1800" w:type="dxa"/>
            <w:tcBorders>
              <w:right w:val="single" w:sz="4" w:space="0" w:color="auto"/>
            </w:tcBorders>
          </w:tcPr>
          <w:p w14:paraId="44AF9907" w14:textId="77777777" w:rsidR="009D2C19" w:rsidRDefault="009D2C19">
            <w:pPr>
              <w:rPr>
                <w:i/>
              </w:rPr>
            </w:pPr>
            <w:r>
              <w:rPr>
                <w:i/>
              </w:rPr>
              <w:t>November 2024</w:t>
            </w:r>
          </w:p>
        </w:tc>
        <w:tc>
          <w:tcPr>
            <w:tcW w:w="1800" w:type="dxa"/>
            <w:tcBorders>
              <w:top w:val="nil"/>
              <w:left w:val="single" w:sz="4" w:space="0" w:color="auto"/>
              <w:bottom w:val="nil"/>
              <w:right w:val="nil"/>
            </w:tcBorders>
          </w:tcPr>
          <w:p w14:paraId="4B73FD33" w14:textId="77777777" w:rsidR="009D2C19" w:rsidRDefault="009D2C19">
            <w:pPr>
              <w:rPr>
                <w:i/>
              </w:rPr>
            </w:pPr>
          </w:p>
        </w:tc>
      </w:tr>
    </w:tbl>
    <w:p w14:paraId="3679A349" w14:textId="77777777" w:rsidR="00C94AE7" w:rsidRDefault="00C94AE7">
      <w:pPr>
        <w:tabs>
          <w:tab w:val="left" w:pos="540"/>
        </w:tabs>
      </w:pPr>
    </w:p>
    <w:p w14:paraId="7EEDB601" w14:textId="77777777" w:rsidR="009D2C19" w:rsidRDefault="007B71A6" w:rsidP="00A95EAD">
      <w:r>
        <w:rPr>
          <w:b/>
        </w:rPr>
        <w:t>Activity 2:</w:t>
      </w:r>
      <w:r>
        <w:rPr>
          <w:i/>
        </w:rPr>
        <w:t xml:space="preserve"> </w:t>
      </w:r>
      <w:r w:rsidR="006D7333">
        <w:rPr>
          <w:i/>
        </w:rPr>
        <w:t xml:space="preserve">Synthesis </w:t>
      </w:r>
      <w:r>
        <w:rPr>
          <w:i/>
        </w:rPr>
        <w:t xml:space="preserve">of data and model </w:t>
      </w:r>
      <w:r w:rsidR="0083263D">
        <w:rPr>
          <w:i/>
        </w:rPr>
        <w:t xml:space="preserve">assessment and </w:t>
      </w:r>
      <w:r>
        <w:rPr>
          <w:i/>
        </w:rPr>
        <w:t>development</w:t>
      </w:r>
    </w:p>
    <w:p w14:paraId="43050C8C" w14:textId="286FC325" w:rsidR="00A95EAD" w:rsidRDefault="00A95EAD" w:rsidP="00A95EAD">
      <w:r>
        <w:t xml:space="preserve">Current approaches to estimating groundwater recharge in </w:t>
      </w:r>
      <w:r w:rsidR="009D2C19">
        <w:t xml:space="preserve">MN </w:t>
      </w:r>
      <w:r>
        <w:t xml:space="preserve">rely heavily on the interpretation of stream hydrographs. While these methods are time efficient and require minimal environmental data, they are underpinned by simplifying assumptions that may not hold in our cold climates. Our proposed monitoring network will pair direct </w:t>
      </w:r>
      <w:r w:rsidR="009D2C19">
        <w:t xml:space="preserve">field </w:t>
      </w:r>
      <w:r>
        <w:t xml:space="preserve">observations of </w:t>
      </w:r>
      <w:r w:rsidR="00E662C0">
        <w:t xml:space="preserve">water movement and storage, allowing us to </w:t>
      </w:r>
      <w:r>
        <w:t xml:space="preserve">assess the validity of </w:t>
      </w:r>
      <w:r w:rsidR="00E662C0">
        <w:t>current recharge estimates</w:t>
      </w:r>
      <w:r>
        <w:t xml:space="preserve">. </w:t>
      </w:r>
      <w:r w:rsidR="00E662C0">
        <w:t xml:space="preserve">We </w:t>
      </w:r>
      <w:r w:rsidR="009D2C19">
        <w:t xml:space="preserve">will </w:t>
      </w:r>
      <w:r w:rsidR="00E662C0">
        <w:t xml:space="preserve">use our data to </w:t>
      </w:r>
      <w:r w:rsidR="009D2C19">
        <w:t>r</w:t>
      </w:r>
      <w:r>
        <w:t>efine existing models of recharge</w:t>
      </w:r>
      <w:r w:rsidR="00E662C0">
        <w:t xml:space="preserve"> that</w:t>
      </w:r>
      <w:r>
        <w:t xml:space="preserve"> will allow</w:t>
      </w:r>
      <w:r w:rsidR="00E662C0">
        <w:t xml:space="preserve"> for</w:t>
      </w:r>
      <w:r>
        <w:t xml:space="preserve"> interfacing with climate-models</w:t>
      </w:r>
      <w:r w:rsidR="00E662C0">
        <w:t>.</w:t>
      </w:r>
    </w:p>
    <w:p w14:paraId="62C69B5A" w14:textId="77777777" w:rsidR="00C94AE7" w:rsidRDefault="00C94AE7"/>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5"/>
        <w:gridCol w:w="1800"/>
        <w:gridCol w:w="1800"/>
      </w:tblGrid>
      <w:tr w:rsidR="009D2C19" w14:paraId="4B1BF04B" w14:textId="47953555" w:rsidTr="009D2C19">
        <w:tc>
          <w:tcPr>
            <w:tcW w:w="6115" w:type="dxa"/>
          </w:tcPr>
          <w:p w14:paraId="7842C800" w14:textId="77777777" w:rsidR="009D2C19" w:rsidRDefault="009D2C19">
            <w:pPr>
              <w:rPr>
                <w:b/>
              </w:rPr>
            </w:pPr>
            <w:r>
              <w:rPr>
                <w:b/>
              </w:rPr>
              <w:t>Outcome</w:t>
            </w:r>
          </w:p>
        </w:tc>
        <w:tc>
          <w:tcPr>
            <w:tcW w:w="1800" w:type="dxa"/>
            <w:tcBorders>
              <w:right w:val="single" w:sz="4" w:space="0" w:color="auto"/>
            </w:tcBorders>
          </w:tcPr>
          <w:p w14:paraId="34FF8EF4" w14:textId="4AE7E44E" w:rsidR="009D2C19" w:rsidRDefault="009D2C19">
            <w:pPr>
              <w:jc w:val="center"/>
              <w:rPr>
                <w:b/>
              </w:rPr>
            </w:pPr>
            <w:r>
              <w:rPr>
                <w:b/>
              </w:rPr>
              <w:t>Completion Date</w:t>
            </w:r>
          </w:p>
        </w:tc>
        <w:tc>
          <w:tcPr>
            <w:tcW w:w="1800" w:type="dxa"/>
            <w:tcBorders>
              <w:top w:val="nil"/>
              <w:left w:val="single" w:sz="4" w:space="0" w:color="auto"/>
              <w:bottom w:val="nil"/>
              <w:right w:val="nil"/>
            </w:tcBorders>
          </w:tcPr>
          <w:p w14:paraId="422BEBCD" w14:textId="77777777" w:rsidR="009D2C19" w:rsidRDefault="009D2C19">
            <w:pPr>
              <w:jc w:val="center"/>
              <w:rPr>
                <w:b/>
              </w:rPr>
            </w:pPr>
          </w:p>
        </w:tc>
      </w:tr>
      <w:tr w:rsidR="009D2C19" w14:paraId="0F16AA35" w14:textId="2A01DCDC" w:rsidTr="009D2C19">
        <w:tc>
          <w:tcPr>
            <w:tcW w:w="6115" w:type="dxa"/>
          </w:tcPr>
          <w:p w14:paraId="09DE5C4B" w14:textId="5F6F715D" w:rsidR="009D2C19" w:rsidRDefault="009D2C19" w:rsidP="009D2C19">
            <w:pPr>
              <w:rPr>
                <w:i/>
              </w:rPr>
            </w:pPr>
            <w:r>
              <w:rPr>
                <w:i/>
              </w:rPr>
              <w:t>1.  Compilation of data that will be publically available</w:t>
            </w:r>
          </w:p>
        </w:tc>
        <w:tc>
          <w:tcPr>
            <w:tcW w:w="1800" w:type="dxa"/>
            <w:tcBorders>
              <w:right w:val="single" w:sz="4" w:space="0" w:color="auto"/>
            </w:tcBorders>
          </w:tcPr>
          <w:p w14:paraId="32876411" w14:textId="77777777" w:rsidR="009D2C19" w:rsidRDefault="009D2C19" w:rsidP="00C03636">
            <w:pPr>
              <w:rPr>
                <w:i/>
              </w:rPr>
            </w:pPr>
            <w:r>
              <w:rPr>
                <w:i/>
              </w:rPr>
              <w:t>June 2024</w:t>
            </w:r>
          </w:p>
        </w:tc>
        <w:tc>
          <w:tcPr>
            <w:tcW w:w="1800" w:type="dxa"/>
            <w:tcBorders>
              <w:top w:val="nil"/>
              <w:left w:val="single" w:sz="4" w:space="0" w:color="auto"/>
              <w:bottom w:val="nil"/>
              <w:right w:val="nil"/>
            </w:tcBorders>
          </w:tcPr>
          <w:p w14:paraId="24829F0B" w14:textId="77777777" w:rsidR="009D2C19" w:rsidRDefault="009D2C19" w:rsidP="00C03636">
            <w:pPr>
              <w:rPr>
                <w:i/>
              </w:rPr>
            </w:pPr>
          </w:p>
        </w:tc>
      </w:tr>
      <w:tr w:rsidR="009D2C19" w14:paraId="2C57E30C" w14:textId="421C2889" w:rsidTr="009D2C19">
        <w:tc>
          <w:tcPr>
            <w:tcW w:w="6115" w:type="dxa"/>
          </w:tcPr>
          <w:p w14:paraId="738C7869" w14:textId="55CE0D6E" w:rsidR="009D2C19" w:rsidRDefault="009D2C19" w:rsidP="009D2C19">
            <w:pPr>
              <w:rPr>
                <w:i/>
              </w:rPr>
            </w:pPr>
            <w:r>
              <w:rPr>
                <w:i/>
              </w:rPr>
              <w:t>2.  Quantify the amount of groundwater recharge across the sites</w:t>
            </w:r>
          </w:p>
        </w:tc>
        <w:tc>
          <w:tcPr>
            <w:tcW w:w="1800" w:type="dxa"/>
            <w:tcBorders>
              <w:right w:val="single" w:sz="4" w:space="0" w:color="auto"/>
            </w:tcBorders>
          </w:tcPr>
          <w:p w14:paraId="6EF44715" w14:textId="77777777" w:rsidR="009D2C19" w:rsidRDefault="009D2C19">
            <w:pPr>
              <w:rPr>
                <w:i/>
              </w:rPr>
            </w:pPr>
            <w:r>
              <w:rPr>
                <w:i/>
              </w:rPr>
              <w:t>June 2024</w:t>
            </w:r>
          </w:p>
        </w:tc>
        <w:tc>
          <w:tcPr>
            <w:tcW w:w="1800" w:type="dxa"/>
            <w:tcBorders>
              <w:top w:val="nil"/>
              <w:left w:val="single" w:sz="4" w:space="0" w:color="auto"/>
              <w:bottom w:val="nil"/>
              <w:right w:val="nil"/>
            </w:tcBorders>
          </w:tcPr>
          <w:p w14:paraId="4D4BEACF" w14:textId="4911FCB2" w:rsidR="009D2C19" w:rsidRPr="009D2C19" w:rsidRDefault="009D2C19">
            <w:pPr>
              <w:rPr>
                <w:b/>
              </w:rPr>
            </w:pPr>
            <w:r>
              <w:rPr>
                <w:b/>
              </w:rPr>
              <w:t>ENRTF BUDGET:</w:t>
            </w:r>
          </w:p>
        </w:tc>
      </w:tr>
      <w:tr w:rsidR="009D2C19" w14:paraId="73071C57" w14:textId="747BD546" w:rsidTr="009D2C19">
        <w:tc>
          <w:tcPr>
            <w:tcW w:w="6115" w:type="dxa"/>
          </w:tcPr>
          <w:p w14:paraId="42AE04EC" w14:textId="107EEF52" w:rsidR="009D2C19" w:rsidRDefault="009D2C19" w:rsidP="009D2C19">
            <w:pPr>
              <w:rPr>
                <w:i/>
              </w:rPr>
            </w:pPr>
            <w:r>
              <w:rPr>
                <w:i/>
              </w:rPr>
              <w:t>3. Determine the timing of groundwater recharge at each site</w:t>
            </w:r>
          </w:p>
        </w:tc>
        <w:tc>
          <w:tcPr>
            <w:tcW w:w="1800" w:type="dxa"/>
            <w:tcBorders>
              <w:right w:val="single" w:sz="4" w:space="0" w:color="auto"/>
            </w:tcBorders>
          </w:tcPr>
          <w:p w14:paraId="28FFA91A" w14:textId="77777777" w:rsidR="009D2C19" w:rsidRDefault="009D2C19">
            <w:pPr>
              <w:rPr>
                <w:i/>
              </w:rPr>
            </w:pPr>
            <w:r>
              <w:rPr>
                <w:i/>
              </w:rPr>
              <w:t>June 2024</w:t>
            </w:r>
          </w:p>
        </w:tc>
        <w:tc>
          <w:tcPr>
            <w:tcW w:w="1800" w:type="dxa"/>
            <w:tcBorders>
              <w:top w:val="nil"/>
              <w:left w:val="single" w:sz="4" w:space="0" w:color="auto"/>
              <w:bottom w:val="nil"/>
              <w:right w:val="nil"/>
            </w:tcBorders>
          </w:tcPr>
          <w:p w14:paraId="4DB1C29C" w14:textId="4AA6CF41" w:rsidR="009D2C19" w:rsidRPr="009D2C19" w:rsidRDefault="009D2C19" w:rsidP="002334D4">
            <w:pPr>
              <w:rPr>
                <w:b/>
              </w:rPr>
            </w:pPr>
            <w:r>
              <w:rPr>
                <w:b/>
              </w:rPr>
              <w:t>$</w:t>
            </w:r>
            <w:r w:rsidR="002334D4">
              <w:rPr>
                <w:b/>
              </w:rPr>
              <w:t>63,525</w:t>
            </w:r>
          </w:p>
        </w:tc>
      </w:tr>
      <w:tr w:rsidR="009D2C19" w14:paraId="203BC39C" w14:textId="3783AEF8" w:rsidTr="009D2C19">
        <w:tc>
          <w:tcPr>
            <w:tcW w:w="6115" w:type="dxa"/>
          </w:tcPr>
          <w:p w14:paraId="72D723E6" w14:textId="177F5E87" w:rsidR="009D2C19" w:rsidRDefault="009D2C19" w:rsidP="009D2C19">
            <w:pPr>
              <w:rPr>
                <w:i/>
              </w:rPr>
            </w:pPr>
            <w:r>
              <w:rPr>
                <w:i/>
              </w:rPr>
              <w:t xml:space="preserve">4. Refine existing groundwater models </w:t>
            </w:r>
          </w:p>
        </w:tc>
        <w:tc>
          <w:tcPr>
            <w:tcW w:w="1800" w:type="dxa"/>
            <w:tcBorders>
              <w:right w:val="single" w:sz="4" w:space="0" w:color="auto"/>
            </w:tcBorders>
          </w:tcPr>
          <w:p w14:paraId="428916C8" w14:textId="77777777" w:rsidR="009D2C19" w:rsidRDefault="009D2C19">
            <w:pPr>
              <w:rPr>
                <w:i/>
              </w:rPr>
            </w:pPr>
            <w:r>
              <w:rPr>
                <w:i/>
              </w:rPr>
              <w:t>June 2024</w:t>
            </w:r>
          </w:p>
        </w:tc>
        <w:tc>
          <w:tcPr>
            <w:tcW w:w="1800" w:type="dxa"/>
            <w:tcBorders>
              <w:top w:val="nil"/>
              <w:left w:val="single" w:sz="4" w:space="0" w:color="auto"/>
              <w:bottom w:val="nil"/>
              <w:right w:val="nil"/>
            </w:tcBorders>
          </w:tcPr>
          <w:p w14:paraId="51DC20D5" w14:textId="77777777" w:rsidR="009D2C19" w:rsidRDefault="009D2C19">
            <w:pPr>
              <w:rPr>
                <w:i/>
              </w:rPr>
            </w:pPr>
          </w:p>
        </w:tc>
      </w:tr>
      <w:tr w:rsidR="009D2C19" w14:paraId="47A2A334" w14:textId="04E462D3" w:rsidTr="009D2C19">
        <w:tc>
          <w:tcPr>
            <w:tcW w:w="6115" w:type="dxa"/>
          </w:tcPr>
          <w:p w14:paraId="2FCC000E" w14:textId="3868CD47" w:rsidR="009D2C19" w:rsidRDefault="009D2C19" w:rsidP="009D2C19">
            <w:pPr>
              <w:rPr>
                <w:i/>
              </w:rPr>
            </w:pPr>
            <w:r>
              <w:rPr>
                <w:i/>
              </w:rPr>
              <w:t xml:space="preserve">5. Disseminate results via  publications and presentations </w:t>
            </w:r>
          </w:p>
        </w:tc>
        <w:tc>
          <w:tcPr>
            <w:tcW w:w="1800" w:type="dxa"/>
            <w:tcBorders>
              <w:right w:val="single" w:sz="4" w:space="0" w:color="auto"/>
            </w:tcBorders>
          </w:tcPr>
          <w:p w14:paraId="402ADE65" w14:textId="77777777" w:rsidR="009D2C19" w:rsidRDefault="009D2C19">
            <w:pPr>
              <w:rPr>
                <w:i/>
              </w:rPr>
            </w:pPr>
            <w:r>
              <w:rPr>
                <w:i/>
              </w:rPr>
              <w:t>October 2024</w:t>
            </w:r>
          </w:p>
        </w:tc>
        <w:tc>
          <w:tcPr>
            <w:tcW w:w="1800" w:type="dxa"/>
            <w:tcBorders>
              <w:top w:val="nil"/>
              <w:left w:val="single" w:sz="4" w:space="0" w:color="auto"/>
              <w:bottom w:val="nil"/>
              <w:right w:val="nil"/>
            </w:tcBorders>
          </w:tcPr>
          <w:p w14:paraId="48AFEB27" w14:textId="77777777" w:rsidR="009D2C19" w:rsidRDefault="009D2C19">
            <w:pPr>
              <w:rPr>
                <w:i/>
              </w:rPr>
            </w:pPr>
          </w:p>
        </w:tc>
      </w:tr>
    </w:tbl>
    <w:p w14:paraId="455BEBEA" w14:textId="77777777" w:rsidR="00C94AE7" w:rsidRDefault="00C94AE7">
      <w:pPr>
        <w:tabs>
          <w:tab w:val="left" w:pos="540"/>
        </w:tabs>
      </w:pPr>
    </w:p>
    <w:p w14:paraId="3F1B7A15" w14:textId="41E8045F" w:rsidR="00C94AE7" w:rsidRDefault="007B71A6" w:rsidP="00955E98">
      <w:pPr>
        <w:tabs>
          <w:tab w:val="left" w:pos="540"/>
        </w:tabs>
        <w:rPr>
          <w:b/>
          <w:color w:val="000000"/>
        </w:rPr>
      </w:pPr>
      <w:bookmarkStart w:id="1" w:name="_gjdgxs" w:colFirst="0" w:colLast="0"/>
      <w:bookmarkEnd w:id="1"/>
      <w:r>
        <w:rPr>
          <w:b/>
        </w:rPr>
        <w:t xml:space="preserve">III. </w:t>
      </w:r>
      <w:r>
        <w:rPr>
          <w:b/>
          <w:color w:val="000000"/>
        </w:rPr>
        <w:t>PROJECT PARTNERS:</w:t>
      </w:r>
    </w:p>
    <w:p w14:paraId="1C274A21" w14:textId="77777777" w:rsidR="00C94AE7" w:rsidRDefault="007B71A6">
      <w:pPr>
        <w:pBdr>
          <w:top w:val="nil"/>
          <w:left w:val="nil"/>
          <w:bottom w:val="nil"/>
          <w:right w:val="nil"/>
          <w:between w:val="nil"/>
        </w:pBdr>
        <w:rPr>
          <w:i/>
          <w:color w:val="000000"/>
        </w:rPr>
      </w:pPr>
      <w:r>
        <w:rPr>
          <w:b/>
          <w:color w:val="000000"/>
        </w:rPr>
        <w:t xml:space="preserve">A. Partners receiving ENRTF funding </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502"/>
        <w:gridCol w:w="2550"/>
        <w:gridCol w:w="2503"/>
      </w:tblGrid>
      <w:tr w:rsidR="00C94AE7" w14:paraId="6E00E444" w14:textId="77777777">
        <w:tc>
          <w:tcPr>
            <w:tcW w:w="2515" w:type="dxa"/>
          </w:tcPr>
          <w:p w14:paraId="2A5386F1" w14:textId="77777777" w:rsidR="00C94AE7" w:rsidRDefault="007B71A6">
            <w:pPr>
              <w:pBdr>
                <w:top w:val="nil"/>
                <w:left w:val="nil"/>
                <w:bottom w:val="nil"/>
                <w:right w:val="nil"/>
                <w:between w:val="nil"/>
              </w:pBdr>
              <w:spacing w:before="120"/>
              <w:rPr>
                <w:b/>
                <w:color w:val="000000"/>
              </w:rPr>
            </w:pPr>
            <w:r>
              <w:rPr>
                <w:b/>
                <w:color w:val="000000"/>
              </w:rPr>
              <w:t>Name</w:t>
            </w:r>
          </w:p>
        </w:tc>
        <w:tc>
          <w:tcPr>
            <w:tcW w:w="2502" w:type="dxa"/>
          </w:tcPr>
          <w:p w14:paraId="616C92CE" w14:textId="77777777" w:rsidR="00C94AE7" w:rsidRDefault="007B71A6">
            <w:pPr>
              <w:pBdr>
                <w:top w:val="nil"/>
                <w:left w:val="nil"/>
                <w:bottom w:val="nil"/>
                <w:right w:val="nil"/>
                <w:between w:val="nil"/>
              </w:pBdr>
              <w:spacing w:before="120"/>
              <w:rPr>
                <w:b/>
                <w:color w:val="000000"/>
              </w:rPr>
            </w:pPr>
            <w:r>
              <w:rPr>
                <w:b/>
                <w:color w:val="000000"/>
              </w:rPr>
              <w:t>Title</w:t>
            </w:r>
          </w:p>
        </w:tc>
        <w:tc>
          <w:tcPr>
            <w:tcW w:w="2550" w:type="dxa"/>
          </w:tcPr>
          <w:p w14:paraId="1D48DF13" w14:textId="77777777" w:rsidR="00C94AE7" w:rsidRDefault="007B71A6">
            <w:pPr>
              <w:pBdr>
                <w:top w:val="nil"/>
                <w:left w:val="nil"/>
                <w:bottom w:val="nil"/>
                <w:right w:val="nil"/>
                <w:between w:val="nil"/>
              </w:pBdr>
              <w:spacing w:before="120"/>
              <w:rPr>
                <w:b/>
                <w:color w:val="000000"/>
              </w:rPr>
            </w:pPr>
            <w:r>
              <w:rPr>
                <w:b/>
                <w:color w:val="000000"/>
              </w:rPr>
              <w:t>Affiliation</w:t>
            </w:r>
          </w:p>
        </w:tc>
        <w:tc>
          <w:tcPr>
            <w:tcW w:w="2503" w:type="dxa"/>
          </w:tcPr>
          <w:p w14:paraId="0FA2A782" w14:textId="77777777" w:rsidR="00C94AE7" w:rsidRDefault="007B71A6">
            <w:pPr>
              <w:pBdr>
                <w:top w:val="nil"/>
                <w:left w:val="nil"/>
                <w:bottom w:val="nil"/>
                <w:right w:val="nil"/>
                <w:between w:val="nil"/>
              </w:pBdr>
              <w:spacing w:before="120"/>
              <w:rPr>
                <w:b/>
                <w:color w:val="000000"/>
              </w:rPr>
            </w:pPr>
            <w:r>
              <w:rPr>
                <w:b/>
                <w:color w:val="000000"/>
              </w:rPr>
              <w:t>Role</w:t>
            </w:r>
          </w:p>
        </w:tc>
      </w:tr>
      <w:tr w:rsidR="00C94AE7" w:rsidRPr="00F67849" w14:paraId="63FCF1A8" w14:textId="77777777">
        <w:tc>
          <w:tcPr>
            <w:tcW w:w="2515" w:type="dxa"/>
          </w:tcPr>
          <w:p w14:paraId="3341EDD4" w14:textId="77777777" w:rsidR="00C94AE7" w:rsidRDefault="007B71A6">
            <w:pPr>
              <w:pBdr>
                <w:top w:val="nil"/>
                <w:left w:val="nil"/>
                <w:bottom w:val="nil"/>
                <w:right w:val="nil"/>
                <w:between w:val="nil"/>
              </w:pBdr>
              <w:spacing w:before="120"/>
              <w:rPr>
                <w:b/>
                <w:color w:val="000000"/>
              </w:rPr>
            </w:pPr>
            <w:r w:rsidRPr="00F67849">
              <w:rPr>
                <w:b/>
                <w:color w:val="000000"/>
              </w:rPr>
              <w:t>Dr. Salli Dymond</w:t>
            </w:r>
          </w:p>
        </w:tc>
        <w:tc>
          <w:tcPr>
            <w:tcW w:w="2502" w:type="dxa"/>
          </w:tcPr>
          <w:p w14:paraId="034DB1DD" w14:textId="77777777" w:rsidR="00C94AE7" w:rsidRDefault="007B71A6">
            <w:pPr>
              <w:pBdr>
                <w:top w:val="nil"/>
                <w:left w:val="nil"/>
                <w:bottom w:val="nil"/>
                <w:right w:val="nil"/>
                <w:between w:val="nil"/>
              </w:pBdr>
              <w:spacing w:before="120"/>
              <w:rPr>
                <w:b/>
                <w:color w:val="000000"/>
              </w:rPr>
            </w:pPr>
            <w:r w:rsidRPr="00F67849">
              <w:rPr>
                <w:b/>
                <w:color w:val="000000"/>
              </w:rPr>
              <w:t>Assistant Professor</w:t>
            </w:r>
          </w:p>
        </w:tc>
        <w:tc>
          <w:tcPr>
            <w:tcW w:w="2550" w:type="dxa"/>
          </w:tcPr>
          <w:p w14:paraId="56AD2893" w14:textId="77777777" w:rsidR="00C94AE7" w:rsidRDefault="007B71A6">
            <w:pPr>
              <w:pBdr>
                <w:top w:val="nil"/>
                <w:left w:val="nil"/>
                <w:bottom w:val="nil"/>
                <w:right w:val="nil"/>
                <w:between w:val="nil"/>
              </w:pBdr>
              <w:spacing w:before="120"/>
              <w:rPr>
                <w:b/>
                <w:color w:val="000000"/>
              </w:rPr>
            </w:pPr>
            <w:r w:rsidRPr="00F67849">
              <w:rPr>
                <w:b/>
                <w:color w:val="000000"/>
              </w:rPr>
              <w:t>UMN-Duluth</w:t>
            </w:r>
          </w:p>
        </w:tc>
        <w:tc>
          <w:tcPr>
            <w:tcW w:w="2503" w:type="dxa"/>
          </w:tcPr>
          <w:p w14:paraId="4BFA7F92" w14:textId="77777777" w:rsidR="00C94AE7" w:rsidRDefault="007B71A6">
            <w:pPr>
              <w:pBdr>
                <w:top w:val="nil"/>
                <w:left w:val="nil"/>
                <w:bottom w:val="nil"/>
                <w:right w:val="nil"/>
                <w:between w:val="nil"/>
              </w:pBdr>
              <w:spacing w:before="120"/>
              <w:rPr>
                <w:b/>
                <w:color w:val="000000"/>
              </w:rPr>
            </w:pPr>
            <w:r w:rsidRPr="00F67849">
              <w:rPr>
                <w:b/>
                <w:color w:val="000000"/>
              </w:rPr>
              <w:t>Lead PI</w:t>
            </w:r>
          </w:p>
        </w:tc>
      </w:tr>
      <w:tr w:rsidR="00C94AE7" w14:paraId="29100380" w14:textId="77777777">
        <w:tc>
          <w:tcPr>
            <w:tcW w:w="2515" w:type="dxa"/>
          </w:tcPr>
          <w:p w14:paraId="79CFB044" w14:textId="5A01CA74" w:rsidR="00C94AE7" w:rsidRDefault="007B71A6">
            <w:pPr>
              <w:pBdr>
                <w:top w:val="nil"/>
                <w:left w:val="nil"/>
                <w:bottom w:val="nil"/>
                <w:right w:val="nil"/>
                <w:between w:val="nil"/>
              </w:pBdr>
              <w:spacing w:before="120"/>
              <w:rPr>
                <w:b/>
              </w:rPr>
            </w:pPr>
            <w:r>
              <w:rPr>
                <w:b/>
              </w:rPr>
              <w:t xml:space="preserve">Dr. John </w:t>
            </w:r>
            <w:r w:rsidR="00682DF0">
              <w:rPr>
                <w:b/>
              </w:rPr>
              <w:t xml:space="preserve">B. </w:t>
            </w:r>
            <w:r>
              <w:rPr>
                <w:b/>
              </w:rPr>
              <w:t>Swenson</w:t>
            </w:r>
          </w:p>
        </w:tc>
        <w:tc>
          <w:tcPr>
            <w:tcW w:w="2502" w:type="dxa"/>
          </w:tcPr>
          <w:p w14:paraId="2FAA12AC" w14:textId="77777777" w:rsidR="00C94AE7" w:rsidRDefault="007B71A6">
            <w:pPr>
              <w:pBdr>
                <w:top w:val="nil"/>
                <w:left w:val="nil"/>
                <w:bottom w:val="nil"/>
                <w:right w:val="nil"/>
                <w:between w:val="nil"/>
              </w:pBdr>
              <w:spacing w:before="120"/>
              <w:rPr>
                <w:b/>
              </w:rPr>
            </w:pPr>
            <w:r>
              <w:rPr>
                <w:b/>
              </w:rPr>
              <w:t>Associate Professor</w:t>
            </w:r>
          </w:p>
        </w:tc>
        <w:tc>
          <w:tcPr>
            <w:tcW w:w="2550" w:type="dxa"/>
          </w:tcPr>
          <w:p w14:paraId="2A9B0E9A" w14:textId="77777777" w:rsidR="00C94AE7" w:rsidRDefault="007B71A6">
            <w:pPr>
              <w:pBdr>
                <w:top w:val="nil"/>
                <w:left w:val="nil"/>
                <w:bottom w:val="nil"/>
                <w:right w:val="nil"/>
                <w:between w:val="nil"/>
              </w:pBdr>
              <w:spacing w:before="120"/>
              <w:rPr>
                <w:b/>
              </w:rPr>
            </w:pPr>
            <w:r>
              <w:rPr>
                <w:b/>
              </w:rPr>
              <w:t>UMN-Duluth</w:t>
            </w:r>
          </w:p>
        </w:tc>
        <w:tc>
          <w:tcPr>
            <w:tcW w:w="2503" w:type="dxa"/>
          </w:tcPr>
          <w:p w14:paraId="198BF3AD" w14:textId="77777777" w:rsidR="00C94AE7" w:rsidRDefault="007B71A6">
            <w:pPr>
              <w:pBdr>
                <w:top w:val="nil"/>
                <w:left w:val="nil"/>
                <w:bottom w:val="nil"/>
                <w:right w:val="nil"/>
                <w:between w:val="nil"/>
              </w:pBdr>
              <w:spacing w:before="120"/>
              <w:rPr>
                <w:b/>
              </w:rPr>
            </w:pPr>
            <w:r>
              <w:rPr>
                <w:b/>
              </w:rPr>
              <w:t>Co-PI</w:t>
            </w:r>
          </w:p>
        </w:tc>
      </w:tr>
    </w:tbl>
    <w:p w14:paraId="6662FC32" w14:textId="77777777" w:rsidR="00C94AE7" w:rsidRDefault="007B71A6">
      <w:pPr>
        <w:pBdr>
          <w:top w:val="nil"/>
          <w:left w:val="nil"/>
          <w:bottom w:val="nil"/>
          <w:right w:val="nil"/>
          <w:between w:val="nil"/>
        </w:pBdr>
        <w:spacing w:before="120"/>
        <w:rPr>
          <w:b/>
          <w:color w:val="000000"/>
        </w:rPr>
      </w:pPr>
      <w:r>
        <w:rPr>
          <w:b/>
          <w:color w:val="000000"/>
        </w:rPr>
        <w:t xml:space="preserve">B. Partners NOT receiving ENRTF funding </w:t>
      </w:r>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502"/>
        <w:gridCol w:w="2550"/>
        <w:gridCol w:w="2503"/>
      </w:tblGrid>
      <w:tr w:rsidR="00C94AE7" w14:paraId="32F0294C" w14:textId="77777777">
        <w:tc>
          <w:tcPr>
            <w:tcW w:w="2515" w:type="dxa"/>
          </w:tcPr>
          <w:p w14:paraId="7E71FAED" w14:textId="77777777" w:rsidR="00C94AE7" w:rsidRDefault="007B71A6">
            <w:pPr>
              <w:pBdr>
                <w:top w:val="nil"/>
                <w:left w:val="nil"/>
                <w:bottom w:val="nil"/>
                <w:right w:val="nil"/>
                <w:between w:val="nil"/>
              </w:pBdr>
              <w:spacing w:before="120"/>
              <w:rPr>
                <w:b/>
                <w:color w:val="000000"/>
              </w:rPr>
            </w:pPr>
            <w:r>
              <w:rPr>
                <w:b/>
                <w:color w:val="000000"/>
              </w:rPr>
              <w:t>Name</w:t>
            </w:r>
          </w:p>
        </w:tc>
        <w:tc>
          <w:tcPr>
            <w:tcW w:w="2502" w:type="dxa"/>
          </w:tcPr>
          <w:p w14:paraId="75B46475" w14:textId="77777777" w:rsidR="00C94AE7" w:rsidRDefault="007B71A6">
            <w:pPr>
              <w:pBdr>
                <w:top w:val="nil"/>
                <w:left w:val="nil"/>
                <w:bottom w:val="nil"/>
                <w:right w:val="nil"/>
                <w:between w:val="nil"/>
              </w:pBdr>
              <w:spacing w:before="120"/>
              <w:rPr>
                <w:b/>
                <w:color w:val="000000"/>
              </w:rPr>
            </w:pPr>
            <w:r>
              <w:rPr>
                <w:b/>
                <w:color w:val="000000"/>
              </w:rPr>
              <w:t>Title</w:t>
            </w:r>
          </w:p>
        </w:tc>
        <w:tc>
          <w:tcPr>
            <w:tcW w:w="2550" w:type="dxa"/>
          </w:tcPr>
          <w:p w14:paraId="247EE134" w14:textId="77777777" w:rsidR="00C94AE7" w:rsidRDefault="007B71A6">
            <w:pPr>
              <w:pBdr>
                <w:top w:val="nil"/>
                <w:left w:val="nil"/>
                <w:bottom w:val="nil"/>
                <w:right w:val="nil"/>
                <w:between w:val="nil"/>
              </w:pBdr>
              <w:spacing w:before="120"/>
              <w:rPr>
                <w:b/>
                <w:color w:val="000000"/>
              </w:rPr>
            </w:pPr>
            <w:r>
              <w:rPr>
                <w:b/>
                <w:color w:val="000000"/>
              </w:rPr>
              <w:t>Affiliation</w:t>
            </w:r>
          </w:p>
        </w:tc>
        <w:tc>
          <w:tcPr>
            <w:tcW w:w="2503" w:type="dxa"/>
          </w:tcPr>
          <w:p w14:paraId="329255BE" w14:textId="77777777" w:rsidR="00C94AE7" w:rsidRDefault="007B71A6">
            <w:pPr>
              <w:pBdr>
                <w:top w:val="nil"/>
                <w:left w:val="nil"/>
                <w:bottom w:val="nil"/>
                <w:right w:val="nil"/>
                <w:between w:val="nil"/>
              </w:pBdr>
              <w:spacing w:before="120"/>
              <w:rPr>
                <w:b/>
                <w:color w:val="000000"/>
              </w:rPr>
            </w:pPr>
            <w:r>
              <w:rPr>
                <w:b/>
                <w:color w:val="000000"/>
              </w:rPr>
              <w:t>Role</w:t>
            </w:r>
          </w:p>
        </w:tc>
      </w:tr>
      <w:tr w:rsidR="00C94AE7" w14:paraId="68B84AAA" w14:textId="77777777">
        <w:tc>
          <w:tcPr>
            <w:tcW w:w="2515" w:type="dxa"/>
          </w:tcPr>
          <w:p w14:paraId="426D2931" w14:textId="77777777" w:rsidR="00C94AE7" w:rsidRDefault="00C94AE7">
            <w:pPr>
              <w:pBdr>
                <w:top w:val="nil"/>
                <w:left w:val="nil"/>
                <w:bottom w:val="nil"/>
                <w:right w:val="nil"/>
                <w:between w:val="nil"/>
              </w:pBdr>
              <w:spacing w:before="120"/>
              <w:rPr>
                <w:b/>
                <w:color w:val="000000"/>
              </w:rPr>
            </w:pPr>
          </w:p>
        </w:tc>
        <w:tc>
          <w:tcPr>
            <w:tcW w:w="2502" w:type="dxa"/>
          </w:tcPr>
          <w:p w14:paraId="70D21BCF" w14:textId="77777777" w:rsidR="00C94AE7" w:rsidRDefault="00C94AE7">
            <w:pPr>
              <w:pBdr>
                <w:top w:val="nil"/>
                <w:left w:val="nil"/>
                <w:bottom w:val="nil"/>
                <w:right w:val="nil"/>
                <w:between w:val="nil"/>
              </w:pBdr>
              <w:spacing w:before="120"/>
              <w:rPr>
                <w:b/>
                <w:color w:val="000000"/>
              </w:rPr>
            </w:pPr>
          </w:p>
        </w:tc>
        <w:tc>
          <w:tcPr>
            <w:tcW w:w="2550" w:type="dxa"/>
          </w:tcPr>
          <w:p w14:paraId="4781BA54" w14:textId="77777777" w:rsidR="00C94AE7" w:rsidRDefault="00C94AE7">
            <w:pPr>
              <w:pBdr>
                <w:top w:val="nil"/>
                <w:left w:val="nil"/>
                <w:bottom w:val="nil"/>
                <w:right w:val="nil"/>
                <w:between w:val="nil"/>
              </w:pBdr>
              <w:spacing w:before="120"/>
              <w:rPr>
                <w:b/>
                <w:color w:val="000000"/>
              </w:rPr>
            </w:pPr>
          </w:p>
        </w:tc>
        <w:tc>
          <w:tcPr>
            <w:tcW w:w="2503" w:type="dxa"/>
          </w:tcPr>
          <w:p w14:paraId="56D5F22B" w14:textId="77777777" w:rsidR="00C94AE7" w:rsidRDefault="00C94AE7">
            <w:pPr>
              <w:pBdr>
                <w:top w:val="nil"/>
                <w:left w:val="nil"/>
                <w:bottom w:val="nil"/>
                <w:right w:val="nil"/>
                <w:between w:val="nil"/>
              </w:pBdr>
              <w:spacing w:before="120"/>
              <w:rPr>
                <w:b/>
                <w:color w:val="000000"/>
              </w:rPr>
            </w:pPr>
          </w:p>
        </w:tc>
      </w:tr>
    </w:tbl>
    <w:p w14:paraId="26CFB395" w14:textId="77777777" w:rsidR="00C94AE7" w:rsidRDefault="00C94AE7">
      <w:pPr>
        <w:rPr>
          <w:b/>
        </w:rPr>
      </w:pPr>
    </w:p>
    <w:p w14:paraId="09C88EF7" w14:textId="5BA13B0F" w:rsidR="00520515" w:rsidRDefault="007B71A6" w:rsidP="00C13433">
      <w:pPr>
        <w:autoSpaceDE w:val="0"/>
        <w:autoSpaceDN w:val="0"/>
        <w:adjustRightInd w:val="0"/>
      </w:pPr>
      <w:r>
        <w:rPr>
          <w:b/>
          <w:color w:val="000000"/>
        </w:rPr>
        <w:t xml:space="preserve">IV. </w:t>
      </w:r>
      <w:r>
        <w:rPr>
          <w:b/>
          <w:color w:val="000000"/>
        </w:rPr>
        <w:tab/>
        <w:t>LONG-TERM- IMPLEMENTATION AND FUNDING:</w:t>
      </w:r>
      <w:r w:rsidR="00520515">
        <w:rPr>
          <w:b/>
          <w:color w:val="000000"/>
        </w:rPr>
        <w:t xml:space="preserve"> </w:t>
      </w:r>
      <w:r w:rsidR="00520515">
        <w:t xml:space="preserve">This project will provide data to determine the timing and amount of groundwater recharge across different portions of the state. We will use the field-data to update existing groundwater recharge models to </w:t>
      </w:r>
      <w:r w:rsidR="00B5280B">
        <w:t xml:space="preserve">help the DNR </w:t>
      </w:r>
      <w:r w:rsidR="00520515">
        <w:t xml:space="preserve">better manage the state’s groundwater resources. </w:t>
      </w:r>
      <w:r w:rsidR="004F4E2A">
        <w:t xml:space="preserve">We will keep our sensors deployed at the existing sites, which have the potential to collect long-term data. </w:t>
      </w:r>
      <w:r w:rsidR="00520515">
        <w:t xml:space="preserve">This project directly addresses two LCCMR priorities for the 2020 funding cycle: </w:t>
      </w:r>
      <w:r w:rsidR="00C13433">
        <w:t xml:space="preserve">A. </w:t>
      </w:r>
      <w:r w:rsidR="00520515">
        <w:t>Foundational Natural Resource Data and Information</w:t>
      </w:r>
      <w:r w:rsidR="00C13433">
        <w:t>, and B. Water Resources.</w:t>
      </w:r>
    </w:p>
    <w:p w14:paraId="0EB70AB3" w14:textId="77777777" w:rsidR="00C94AE7" w:rsidRDefault="00C94AE7">
      <w:pPr>
        <w:rPr>
          <w:b/>
        </w:rPr>
      </w:pPr>
    </w:p>
    <w:p w14:paraId="1F223A7D" w14:textId="663D0ABA" w:rsidR="00C94AE7" w:rsidRDefault="007B71A6">
      <w:pPr>
        <w:tabs>
          <w:tab w:val="left" w:pos="540"/>
        </w:tabs>
        <w:rPr>
          <w:color w:val="000000"/>
        </w:rPr>
      </w:pPr>
      <w:r>
        <w:rPr>
          <w:b/>
          <w:color w:val="000000"/>
        </w:rPr>
        <w:lastRenderedPageBreak/>
        <w:t xml:space="preserve">V. </w:t>
      </w:r>
      <w:r>
        <w:rPr>
          <w:b/>
          <w:color w:val="000000"/>
        </w:rPr>
        <w:tab/>
        <w:t>TIME LINE REQUIREMENTS:</w:t>
      </w:r>
      <w:r>
        <w:rPr>
          <w:color w:val="000000"/>
        </w:rPr>
        <w:t xml:space="preserve"> We request funding for three full field seasons </w:t>
      </w:r>
      <w:r>
        <w:t>plus an additional 9 months to complete analyses and writing (July 1, 2020 - June 30, 2024).</w:t>
      </w:r>
      <w:r w:rsidR="009D5D4B">
        <w:t xml:space="preserve"> Three field seasons will increase the </w:t>
      </w:r>
      <w:r w:rsidR="00873309">
        <w:t>likelihood of capturing a wider range of thermal and hydrologic conditions and thus allow us to gain more physical insight into the feedbacks and history dependence that control the timing of groundwater recharge.</w:t>
      </w:r>
      <w:r w:rsidR="009D5D4B">
        <w:t xml:space="preserve"> </w:t>
      </w:r>
    </w:p>
    <w:p w14:paraId="2FC90E1F" w14:textId="77777777" w:rsidR="00C94AE7" w:rsidRDefault="00C94AE7" w:rsidP="008E21E5"/>
    <w:sectPr w:rsidR="00C94AE7">
      <w:headerReference w:type="default" r:id="rId7"/>
      <w:footerReference w:type="default" r:id="rId8"/>
      <w:headerReference w:type="first" r:id="rId9"/>
      <w:footerReference w:type="first" r:id="rId10"/>
      <w:pgSz w:w="12240" w:h="15840"/>
      <w:pgMar w:top="1440" w:right="1080" w:bottom="1440" w:left="1080" w:header="648"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D1253E" w16cid:durableId="2033C121"/>
  <w16cid:commentId w16cid:paraId="0A9B1D25" w16cid:durableId="2033D204"/>
  <w16cid:commentId w16cid:paraId="1876CCDD" w16cid:durableId="2033C631"/>
  <w16cid:commentId w16cid:paraId="433603C1" w16cid:durableId="2033C610"/>
  <w16cid:commentId w16cid:paraId="55399385" w16cid:durableId="2033C894"/>
  <w16cid:commentId w16cid:paraId="15B5FAA8" w16cid:durableId="2033EB89"/>
  <w16cid:commentId w16cid:paraId="32D3F1E0" w16cid:durableId="2033D6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07857" w14:textId="77777777" w:rsidR="00BD39B3" w:rsidRDefault="00BD39B3">
      <w:r>
        <w:separator/>
      </w:r>
    </w:p>
  </w:endnote>
  <w:endnote w:type="continuationSeparator" w:id="0">
    <w:p w14:paraId="63848EE6" w14:textId="77777777" w:rsidR="00BD39B3" w:rsidRDefault="00BD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9A10" w14:textId="28E3021B" w:rsidR="00C94AE7" w:rsidRDefault="007B71A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9345D">
      <w:rPr>
        <w:noProof/>
        <w:color w:val="000000"/>
      </w:rPr>
      <w:t>1</w:t>
    </w:r>
    <w:r>
      <w:rPr>
        <w:color w:val="000000"/>
      </w:rPr>
      <w:fldChar w:fldCharType="end"/>
    </w:r>
  </w:p>
  <w:p w14:paraId="37CC47D5" w14:textId="77777777" w:rsidR="00C94AE7" w:rsidRDefault="00C94AE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174D" w14:textId="77777777" w:rsidR="00C94AE7" w:rsidRDefault="007B71A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64E6BB23" w14:textId="77777777" w:rsidR="00C94AE7" w:rsidRDefault="00C94AE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405C6" w14:textId="77777777" w:rsidR="00BD39B3" w:rsidRDefault="00BD39B3">
      <w:r>
        <w:separator/>
      </w:r>
    </w:p>
  </w:footnote>
  <w:footnote w:type="continuationSeparator" w:id="0">
    <w:p w14:paraId="59F514C7" w14:textId="77777777" w:rsidR="00BD39B3" w:rsidRDefault="00BD39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76D0" w14:textId="77777777" w:rsidR="00C94AE7" w:rsidRDefault="00C94AE7">
    <w:pPr>
      <w:widowControl w:val="0"/>
      <w:pBdr>
        <w:top w:val="nil"/>
        <w:left w:val="nil"/>
        <w:bottom w:val="nil"/>
        <w:right w:val="nil"/>
        <w:between w:val="nil"/>
      </w:pBdr>
      <w:spacing w:line="276" w:lineRule="auto"/>
    </w:pPr>
  </w:p>
  <w:tbl>
    <w:tblPr>
      <w:tblStyle w:val="a3"/>
      <w:tblW w:w="10278" w:type="dxa"/>
      <w:tblLayout w:type="fixed"/>
      <w:tblLook w:val="0400" w:firstRow="0" w:lastRow="0" w:firstColumn="0" w:lastColumn="0" w:noHBand="0" w:noVBand="1"/>
    </w:tblPr>
    <w:tblGrid>
      <w:gridCol w:w="1278"/>
      <w:gridCol w:w="9000"/>
    </w:tblGrid>
    <w:tr w:rsidR="00C94AE7" w14:paraId="591B08D1" w14:textId="77777777">
      <w:tc>
        <w:tcPr>
          <w:tcW w:w="1278" w:type="dxa"/>
        </w:tcPr>
        <w:p w14:paraId="671CD9A9" w14:textId="77777777" w:rsidR="00C94AE7" w:rsidRDefault="007B71A6">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77961BBA" wp14:editId="54B2A46E">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58D708E7" w14:textId="77777777" w:rsidR="00C94AE7" w:rsidRDefault="007B71A6">
          <w:pPr>
            <w:rPr>
              <w:b/>
            </w:rPr>
          </w:pPr>
          <w:r>
            <w:rPr>
              <w:b/>
            </w:rPr>
            <w:t>Environment and Natural Resources Trust Fund (ENRTF)</w:t>
          </w:r>
        </w:p>
        <w:p w14:paraId="4C7D5DF5" w14:textId="52D7ED19" w:rsidR="00C94AE7" w:rsidRDefault="007B71A6">
          <w:pPr>
            <w:pBdr>
              <w:top w:val="nil"/>
              <w:left w:val="nil"/>
              <w:bottom w:val="nil"/>
              <w:right w:val="nil"/>
              <w:between w:val="nil"/>
            </w:pBdr>
            <w:tabs>
              <w:tab w:val="center" w:pos="4680"/>
              <w:tab w:val="right" w:pos="9360"/>
            </w:tabs>
            <w:rPr>
              <w:b/>
              <w:color w:val="000000"/>
            </w:rPr>
          </w:pPr>
          <w:r>
            <w:rPr>
              <w:b/>
              <w:color w:val="000000"/>
            </w:rPr>
            <w:t>20</w:t>
          </w:r>
          <w:r w:rsidR="0099345D">
            <w:rPr>
              <w:b/>
              <w:color w:val="000000"/>
            </w:rPr>
            <w:t>20</w:t>
          </w:r>
          <w:r>
            <w:rPr>
              <w:b/>
              <w:color w:val="000000"/>
            </w:rPr>
            <w:t xml:space="preserve"> Main Proposal</w:t>
          </w:r>
        </w:p>
        <w:p w14:paraId="008A6A42" w14:textId="77777777" w:rsidR="00C94AE7" w:rsidRDefault="00C94AE7">
          <w:pPr>
            <w:pBdr>
              <w:top w:val="nil"/>
              <w:left w:val="nil"/>
              <w:bottom w:val="nil"/>
              <w:right w:val="nil"/>
              <w:between w:val="nil"/>
            </w:pBdr>
            <w:tabs>
              <w:tab w:val="center" w:pos="4680"/>
              <w:tab w:val="right" w:pos="9360"/>
            </w:tabs>
            <w:rPr>
              <w:color w:val="000000"/>
            </w:rPr>
          </w:pPr>
        </w:p>
      </w:tc>
    </w:tr>
  </w:tbl>
  <w:p w14:paraId="7D2E2585" w14:textId="77777777" w:rsidR="00C94AE7" w:rsidRDefault="00C94AE7">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343A2" w14:textId="77777777" w:rsidR="00C94AE7" w:rsidRDefault="00C94AE7">
    <w:pPr>
      <w:widowControl w:val="0"/>
      <w:pBdr>
        <w:top w:val="nil"/>
        <w:left w:val="nil"/>
        <w:bottom w:val="nil"/>
        <w:right w:val="nil"/>
        <w:between w:val="nil"/>
      </w:pBdr>
      <w:spacing w:line="276" w:lineRule="auto"/>
      <w:rPr>
        <w:color w:val="000000"/>
      </w:rPr>
    </w:pPr>
  </w:p>
  <w:tbl>
    <w:tblPr>
      <w:tblStyle w:val="a4"/>
      <w:tblW w:w="9576" w:type="dxa"/>
      <w:tblLayout w:type="fixed"/>
      <w:tblLook w:val="0400" w:firstRow="0" w:lastRow="0" w:firstColumn="0" w:lastColumn="0" w:noHBand="0" w:noVBand="1"/>
    </w:tblPr>
    <w:tblGrid>
      <w:gridCol w:w="1098"/>
      <w:gridCol w:w="8478"/>
    </w:tblGrid>
    <w:tr w:rsidR="00C94AE7" w14:paraId="4DA2BA58" w14:textId="77777777">
      <w:tc>
        <w:tcPr>
          <w:tcW w:w="1098" w:type="dxa"/>
        </w:tcPr>
        <w:p w14:paraId="04D667E2" w14:textId="77777777" w:rsidR="00C94AE7" w:rsidRDefault="007B71A6">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45B0586" wp14:editId="12EFBF4C">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8478" w:type="dxa"/>
        </w:tcPr>
        <w:p w14:paraId="305C0E43" w14:textId="77777777" w:rsidR="00C94AE7" w:rsidRDefault="007B71A6">
          <w:pPr>
            <w:rPr>
              <w:b/>
            </w:rPr>
          </w:pPr>
          <w:r>
            <w:rPr>
              <w:b/>
            </w:rPr>
            <w:t>Environment and Natural Resources Trust Fund (ENRTF)</w:t>
          </w:r>
        </w:p>
        <w:p w14:paraId="569BECEA" w14:textId="77777777" w:rsidR="00C94AE7" w:rsidRDefault="007B71A6">
          <w:pPr>
            <w:pBdr>
              <w:top w:val="nil"/>
              <w:left w:val="nil"/>
              <w:bottom w:val="nil"/>
              <w:right w:val="nil"/>
              <w:between w:val="nil"/>
            </w:pBdr>
            <w:tabs>
              <w:tab w:val="center" w:pos="4680"/>
              <w:tab w:val="right" w:pos="9360"/>
            </w:tabs>
            <w:rPr>
              <w:b/>
              <w:color w:val="000000"/>
            </w:rPr>
          </w:pPr>
          <w:r>
            <w:rPr>
              <w:b/>
              <w:color w:val="000000"/>
            </w:rPr>
            <w:t>2014 Main Proposal</w:t>
          </w:r>
        </w:p>
        <w:p w14:paraId="36DCBF46" w14:textId="77777777" w:rsidR="00C94AE7" w:rsidRDefault="007B71A6">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14:paraId="76D39A9B" w14:textId="77777777" w:rsidR="00C94AE7" w:rsidRDefault="00C94AE7">
    <w:pPr>
      <w:pBdr>
        <w:top w:val="nil"/>
        <w:left w:val="nil"/>
        <w:bottom w:val="nil"/>
        <w:right w:val="nil"/>
        <w:between w:val="nil"/>
      </w:pBdr>
      <w:tabs>
        <w:tab w:val="center" w:pos="4680"/>
        <w:tab w:val="right" w:pos="9360"/>
      </w:tabs>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6865"/>
    <w:multiLevelType w:val="hybridMultilevel"/>
    <w:tmpl w:val="5D82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85F19"/>
    <w:multiLevelType w:val="multilevel"/>
    <w:tmpl w:val="F76C9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E7"/>
    <w:rsid w:val="00022AB3"/>
    <w:rsid w:val="000D6691"/>
    <w:rsid w:val="00122961"/>
    <w:rsid w:val="0012462A"/>
    <w:rsid w:val="00162EBD"/>
    <w:rsid w:val="001F27A7"/>
    <w:rsid w:val="002334D4"/>
    <w:rsid w:val="002C4570"/>
    <w:rsid w:val="003562CB"/>
    <w:rsid w:val="003A54B2"/>
    <w:rsid w:val="003B7266"/>
    <w:rsid w:val="0046348B"/>
    <w:rsid w:val="00470AAB"/>
    <w:rsid w:val="004E05E8"/>
    <w:rsid w:val="004F4E2A"/>
    <w:rsid w:val="00520515"/>
    <w:rsid w:val="005702B9"/>
    <w:rsid w:val="00615517"/>
    <w:rsid w:val="00682DF0"/>
    <w:rsid w:val="00683E2D"/>
    <w:rsid w:val="006D7333"/>
    <w:rsid w:val="006E0C14"/>
    <w:rsid w:val="006F04D8"/>
    <w:rsid w:val="006F15F9"/>
    <w:rsid w:val="006F7805"/>
    <w:rsid w:val="0078787D"/>
    <w:rsid w:val="007B71A6"/>
    <w:rsid w:val="0083263D"/>
    <w:rsid w:val="00853AC8"/>
    <w:rsid w:val="00873309"/>
    <w:rsid w:val="00876AAC"/>
    <w:rsid w:val="008E21E5"/>
    <w:rsid w:val="00915DDF"/>
    <w:rsid w:val="00955E98"/>
    <w:rsid w:val="0099345D"/>
    <w:rsid w:val="009C7398"/>
    <w:rsid w:val="009D2C19"/>
    <w:rsid w:val="009D5D4B"/>
    <w:rsid w:val="009F7F3F"/>
    <w:rsid w:val="00A60627"/>
    <w:rsid w:val="00A95EAD"/>
    <w:rsid w:val="00AF5066"/>
    <w:rsid w:val="00B41774"/>
    <w:rsid w:val="00B5280B"/>
    <w:rsid w:val="00BA4A4F"/>
    <w:rsid w:val="00BD39B3"/>
    <w:rsid w:val="00C03636"/>
    <w:rsid w:val="00C13433"/>
    <w:rsid w:val="00C94AE7"/>
    <w:rsid w:val="00CB377B"/>
    <w:rsid w:val="00CC5708"/>
    <w:rsid w:val="00CF67DF"/>
    <w:rsid w:val="00D539C8"/>
    <w:rsid w:val="00E04B23"/>
    <w:rsid w:val="00E24165"/>
    <w:rsid w:val="00E662C0"/>
    <w:rsid w:val="00E72DF7"/>
    <w:rsid w:val="00F565F4"/>
    <w:rsid w:val="00F67849"/>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DFA0"/>
  <w15:docId w15:val="{0256589D-1D6B-4D33-A83C-A90F0011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F5066"/>
    <w:pPr>
      <w:ind w:left="720"/>
      <w:contextualSpacing/>
    </w:pPr>
  </w:style>
  <w:style w:type="paragraph" w:styleId="BalloonText">
    <w:name w:val="Balloon Text"/>
    <w:basedOn w:val="Normal"/>
    <w:link w:val="BalloonTextChar"/>
    <w:uiPriority w:val="99"/>
    <w:semiHidden/>
    <w:unhideWhenUsed/>
    <w:rsid w:val="00915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DDF"/>
    <w:rPr>
      <w:rFonts w:ascii="Segoe UI" w:hAnsi="Segoe UI" w:cs="Segoe UI"/>
      <w:sz w:val="18"/>
      <w:szCs w:val="18"/>
    </w:rPr>
  </w:style>
  <w:style w:type="character" w:styleId="CommentReference">
    <w:name w:val="annotation reference"/>
    <w:basedOn w:val="DefaultParagraphFont"/>
    <w:uiPriority w:val="99"/>
    <w:semiHidden/>
    <w:unhideWhenUsed/>
    <w:rsid w:val="00682DF0"/>
    <w:rPr>
      <w:sz w:val="16"/>
      <w:szCs w:val="16"/>
    </w:rPr>
  </w:style>
  <w:style w:type="paragraph" w:styleId="CommentText">
    <w:name w:val="annotation text"/>
    <w:basedOn w:val="Normal"/>
    <w:link w:val="CommentTextChar"/>
    <w:uiPriority w:val="99"/>
    <w:semiHidden/>
    <w:unhideWhenUsed/>
    <w:rsid w:val="00682DF0"/>
    <w:rPr>
      <w:sz w:val="20"/>
      <w:szCs w:val="20"/>
    </w:rPr>
  </w:style>
  <w:style w:type="character" w:customStyle="1" w:styleId="CommentTextChar">
    <w:name w:val="Comment Text Char"/>
    <w:basedOn w:val="DefaultParagraphFont"/>
    <w:link w:val="CommentText"/>
    <w:uiPriority w:val="99"/>
    <w:semiHidden/>
    <w:rsid w:val="00682DF0"/>
    <w:rPr>
      <w:sz w:val="20"/>
      <w:szCs w:val="20"/>
    </w:rPr>
  </w:style>
  <w:style w:type="paragraph" w:styleId="CommentSubject">
    <w:name w:val="annotation subject"/>
    <w:basedOn w:val="CommentText"/>
    <w:next w:val="CommentText"/>
    <w:link w:val="CommentSubjectChar"/>
    <w:uiPriority w:val="99"/>
    <w:semiHidden/>
    <w:unhideWhenUsed/>
    <w:rsid w:val="00682DF0"/>
    <w:rPr>
      <w:b/>
      <w:bCs/>
    </w:rPr>
  </w:style>
  <w:style w:type="character" w:customStyle="1" w:styleId="CommentSubjectChar">
    <w:name w:val="Comment Subject Char"/>
    <w:basedOn w:val="CommentTextChar"/>
    <w:link w:val="CommentSubject"/>
    <w:uiPriority w:val="99"/>
    <w:semiHidden/>
    <w:rsid w:val="00682DF0"/>
    <w:rPr>
      <w:b/>
      <w:bCs/>
      <w:sz w:val="20"/>
      <w:szCs w:val="20"/>
    </w:rPr>
  </w:style>
  <w:style w:type="paragraph" w:styleId="Header">
    <w:name w:val="header"/>
    <w:basedOn w:val="Normal"/>
    <w:link w:val="HeaderChar"/>
    <w:uiPriority w:val="99"/>
    <w:unhideWhenUsed/>
    <w:rsid w:val="0099345D"/>
    <w:pPr>
      <w:tabs>
        <w:tab w:val="center" w:pos="4680"/>
        <w:tab w:val="right" w:pos="9360"/>
      </w:tabs>
    </w:pPr>
  </w:style>
  <w:style w:type="character" w:customStyle="1" w:styleId="HeaderChar">
    <w:name w:val="Header Char"/>
    <w:basedOn w:val="DefaultParagraphFont"/>
    <w:link w:val="Header"/>
    <w:uiPriority w:val="99"/>
    <w:rsid w:val="0099345D"/>
  </w:style>
  <w:style w:type="paragraph" w:styleId="Footer">
    <w:name w:val="footer"/>
    <w:basedOn w:val="Normal"/>
    <w:link w:val="FooterChar"/>
    <w:uiPriority w:val="99"/>
    <w:unhideWhenUsed/>
    <w:rsid w:val="0099345D"/>
    <w:pPr>
      <w:tabs>
        <w:tab w:val="center" w:pos="4680"/>
        <w:tab w:val="right" w:pos="9360"/>
      </w:tabs>
    </w:pPr>
  </w:style>
  <w:style w:type="character" w:customStyle="1" w:styleId="FooterChar">
    <w:name w:val="Footer Char"/>
    <w:basedOn w:val="DefaultParagraphFont"/>
    <w:link w:val="Footer"/>
    <w:uiPriority w:val="99"/>
    <w:rsid w:val="0099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5427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 Duluth</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Salli F Dymond</dc:creator>
  <cp:lastModifiedBy>Diana Griffith</cp:lastModifiedBy>
  <cp:revision>2</cp:revision>
  <dcterms:created xsi:type="dcterms:W3CDTF">2019-05-08T12:48:00Z</dcterms:created>
  <dcterms:modified xsi:type="dcterms:W3CDTF">2019-05-08T12:48:00Z</dcterms:modified>
</cp:coreProperties>
</file>