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9E806" w14:textId="77777777" w:rsidR="005A4FB1" w:rsidRDefault="005A4FB1" w:rsidP="005A4FB1">
      <w:pPr>
        <w:jc w:val="center"/>
        <w:rPr>
          <w:rFonts w:cs="Arial"/>
          <w:i/>
        </w:rPr>
      </w:pPr>
    </w:p>
    <w:p w14:paraId="35071522" w14:textId="77777777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2152D0">
        <w:rPr>
          <w:rFonts w:cs="Arial"/>
          <w:b/>
        </w:rPr>
        <w:t xml:space="preserve">  </w:t>
      </w:r>
      <w:r w:rsidR="00CA3549">
        <w:rPr>
          <w:i/>
        </w:rPr>
        <w:t>Protozoan Microbes in Groundwater Used for Drinking Water</w:t>
      </w:r>
    </w:p>
    <w:p w14:paraId="6BC282DB" w14:textId="77777777" w:rsidR="006E0EFD" w:rsidRPr="00E30687" w:rsidRDefault="006E0EFD" w:rsidP="006E0EFD">
      <w:pPr>
        <w:rPr>
          <w:rFonts w:cs="Arial"/>
          <w:sz w:val="18"/>
          <w:szCs w:val="18"/>
        </w:rPr>
      </w:pPr>
    </w:p>
    <w:p w14:paraId="2022ECAB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76DE1F2E" w14:textId="77777777" w:rsidR="00A11692" w:rsidRDefault="00CA3549" w:rsidP="00A11692">
      <w:pPr>
        <w:ind w:firstLine="720"/>
      </w:pPr>
      <w:r>
        <w:t xml:space="preserve">This </w:t>
      </w:r>
      <w:r w:rsidR="0087092C">
        <w:t xml:space="preserve">research </w:t>
      </w:r>
      <w:r>
        <w:t>project will</w:t>
      </w:r>
      <w:r w:rsidR="0083157A">
        <w:t xml:space="preserve"> confirm the presence of two protozoan microorganisms </w:t>
      </w:r>
      <w:r w:rsidR="0087092C">
        <w:t>(</w:t>
      </w:r>
      <w:r w:rsidR="0087092C">
        <w:rPr>
          <w:i/>
        </w:rPr>
        <w:t xml:space="preserve">Cryptosporidium </w:t>
      </w:r>
      <w:r w:rsidR="0087092C">
        <w:t xml:space="preserve">and </w:t>
      </w:r>
      <w:r w:rsidR="0087092C">
        <w:rPr>
          <w:i/>
        </w:rPr>
        <w:t>Giardia</w:t>
      </w:r>
      <w:r w:rsidR="0087092C">
        <w:t>)</w:t>
      </w:r>
      <w:r w:rsidR="0087092C">
        <w:rPr>
          <w:i/>
        </w:rPr>
        <w:t xml:space="preserve"> </w:t>
      </w:r>
      <w:r w:rsidR="0083157A">
        <w:t xml:space="preserve">in the groundwater </w:t>
      </w:r>
      <w:r w:rsidR="00BF103B">
        <w:t xml:space="preserve">used as the source of drinking water by </w:t>
      </w:r>
      <w:r w:rsidR="00091204">
        <w:t xml:space="preserve">a </w:t>
      </w:r>
      <w:r w:rsidR="0083157A">
        <w:t>City in Minnesota</w:t>
      </w:r>
      <w:r w:rsidR="0087092C">
        <w:t xml:space="preserve">, design and implement a treatment system to </w:t>
      </w:r>
      <w:r w:rsidR="00091204">
        <w:t>solve</w:t>
      </w:r>
      <w:r w:rsidR="0087092C">
        <w:t xml:space="preserve"> this problem, and then demonstrate that the problem has been solved.</w:t>
      </w:r>
      <w:r>
        <w:t xml:space="preserve"> </w:t>
      </w:r>
      <w:r w:rsidR="0083157A">
        <w:t xml:space="preserve"> </w:t>
      </w:r>
      <w:r w:rsidR="0083157A" w:rsidRPr="0087092C">
        <w:t xml:space="preserve">This </w:t>
      </w:r>
      <w:r w:rsidR="009F38EE">
        <w:t xml:space="preserve">proposed research </w:t>
      </w:r>
      <w:r w:rsidR="0083157A" w:rsidRPr="0087092C">
        <w:t>project</w:t>
      </w:r>
      <w:r w:rsidR="0083157A">
        <w:t xml:space="preserve"> is in direct response to </w:t>
      </w:r>
      <w:r w:rsidR="007F27FA">
        <w:t xml:space="preserve">a </w:t>
      </w:r>
      <w:r w:rsidR="00D46BA7">
        <w:t xml:space="preserve">very </w:t>
      </w:r>
      <w:r w:rsidR="0083157A">
        <w:t xml:space="preserve">recent </w:t>
      </w:r>
      <w:r w:rsidR="00091204">
        <w:t>study by</w:t>
      </w:r>
      <w:r w:rsidR="0087092C">
        <w:t xml:space="preserve"> </w:t>
      </w:r>
      <w:r w:rsidR="00091204">
        <w:t>the</w:t>
      </w:r>
      <w:r w:rsidR="0087092C">
        <w:t xml:space="preserve"> Minnesota Department of Health </w:t>
      </w:r>
      <w:r w:rsidR="00BF103B">
        <w:t xml:space="preserve">(MDH) </w:t>
      </w:r>
      <w:r w:rsidR="0083157A">
        <w:t xml:space="preserve">that </w:t>
      </w:r>
      <w:r w:rsidR="00224B41">
        <w:t xml:space="preserve">detected </w:t>
      </w:r>
      <w:r w:rsidR="0087092C">
        <w:rPr>
          <w:i/>
        </w:rPr>
        <w:t xml:space="preserve">Cryptosporidium </w:t>
      </w:r>
      <w:r w:rsidR="0087092C">
        <w:t xml:space="preserve">and </w:t>
      </w:r>
      <w:r w:rsidR="0087092C">
        <w:rPr>
          <w:i/>
        </w:rPr>
        <w:t>Giardia</w:t>
      </w:r>
      <w:r w:rsidR="0087092C">
        <w:t xml:space="preserve"> </w:t>
      </w:r>
      <w:r w:rsidR="003C0AF1">
        <w:t xml:space="preserve">at least once </w:t>
      </w:r>
      <w:r w:rsidR="0087092C">
        <w:t xml:space="preserve">in </w:t>
      </w:r>
      <w:r w:rsidR="009F38EE">
        <w:t xml:space="preserve">40% of tested wells </w:t>
      </w:r>
      <w:r w:rsidR="003C0AF1">
        <w:t xml:space="preserve">(145 wells) </w:t>
      </w:r>
      <w:r w:rsidR="009F38EE">
        <w:t xml:space="preserve">and </w:t>
      </w:r>
      <w:r w:rsidR="003C0AF1">
        <w:t xml:space="preserve">in </w:t>
      </w:r>
      <w:r w:rsidR="009F38EE">
        <w:t>11% of all samples</w:t>
      </w:r>
      <w:r w:rsidR="003C0AF1">
        <w:t xml:space="preserve"> (i.e., 964 samples)</w:t>
      </w:r>
      <w:r w:rsidR="009F38EE">
        <w:t>.</w:t>
      </w:r>
      <w:r w:rsidR="00A11692">
        <w:t xml:space="preserve">  This study will be performed at </w:t>
      </w:r>
      <w:r w:rsidR="00224B41">
        <w:t>the yet-to-be-name</w:t>
      </w:r>
      <w:r w:rsidR="007F27FA">
        <w:t>d</w:t>
      </w:r>
      <w:r w:rsidR="00A11692">
        <w:t xml:space="preserve"> City </w:t>
      </w:r>
      <w:r w:rsidR="00224B41">
        <w:t xml:space="preserve">(pending City Council approval) because it </w:t>
      </w:r>
      <w:r w:rsidR="00A11692">
        <w:t xml:space="preserve">had multiple positive detections for </w:t>
      </w:r>
      <w:r w:rsidR="00A11692" w:rsidRPr="00A11692">
        <w:rPr>
          <w:i/>
        </w:rPr>
        <w:t>Cryptosporidium</w:t>
      </w:r>
      <w:r w:rsidR="00A11692">
        <w:t xml:space="preserve"> and </w:t>
      </w:r>
      <w:r w:rsidR="00A11692" w:rsidRPr="00A11692">
        <w:rPr>
          <w:i/>
        </w:rPr>
        <w:t>Giardia</w:t>
      </w:r>
      <w:r w:rsidR="00091204">
        <w:t>.</w:t>
      </w:r>
      <w:r w:rsidR="00BF103B">
        <w:t xml:space="preserve">  </w:t>
      </w:r>
    </w:p>
    <w:p w14:paraId="425F175B" w14:textId="77777777" w:rsidR="00CA3549" w:rsidRPr="003C0AF1" w:rsidRDefault="00CA3549" w:rsidP="002152D0">
      <w:pPr>
        <w:ind w:firstLine="720"/>
      </w:pPr>
      <w:r>
        <w:t xml:space="preserve">Groundwater is used as the source for more than 90% of Minnesota’s public water supplies, serving about 75% of the </w:t>
      </w:r>
      <w:r w:rsidR="002943D4">
        <w:t>S</w:t>
      </w:r>
      <w:r>
        <w:t xml:space="preserve">tate’s population.  </w:t>
      </w:r>
      <w:r w:rsidR="009F38EE">
        <w:t xml:space="preserve">The discovery of </w:t>
      </w:r>
      <w:r w:rsidR="009F38EE">
        <w:rPr>
          <w:i/>
        </w:rPr>
        <w:t>Cr</w:t>
      </w:r>
      <w:r w:rsidR="00A11692">
        <w:rPr>
          <w:i/>
        </w:rPr>
        <w:t xml:space="preserve">yptosporidium </w:t>
      </w:r>
      <w:r w:rsidR="00A11692">
        <w:t xml:space="preserve">and </w:t>
      </w:r>
      <w:r w:rsidR="00A11692">
        <w:rPr>
          <w:i/>
        </w:rPr>
        <w:t xml:space="preserve">Giardia </w:t>
      </w:r>
      <w:r w:rsidR="00A11692">
        <w:t xml:space="preserve">in groundwater was unexpected, because these organisms are commonly believed to be associated with surface water.  </w:t>
      </w:r>
      <w:r w:rsidR="00A11692">
        <w:rPr>
          <w:i/>
        </w:rPr>
        <w:t xml:space="preserve">Cryptosporidium </w:t>
      </w:r>
      <w:r w:rsidR="00A11692">
        <w:t xml:space="preserve">and </w:t>
      </w:r>
      <w:r w:rsidR="00A11692">
        <w:rPr>
          <w:i/>
        </w:rPr>
        <w:t>Giardia</w:t>
      </w:r>
      <w:r w:rsidR="009F38EE">
        <w:t xml:space="preserve"> </w:t>
      </w:r>
      <w:r w:rsidR="00447E03">
        <w:t xml:space="preserve">are worrisome </w:t>
      </w:r>
      <w:r w:rsidR="007F27FA">
        <w:t>for several reasons: (1) they</w:t>
      </w:r>
      <w:r w:rsidR="009F38EE">
        <w:t xml:space="preserve"> cause </w:t>
      </w:r>
      <w:r w:rsidR="007F27FA">
        <w:t xml:space="preserve">severe </w:t>
      </w:r>
      <w:r w:rsidR="009F38EE">
        <w:t>diarrhea, dehydration, fever, nausea, and vomiting</w:t>
      </w:r>
      <w:r w:rsidR="007F27FA">
        <w:t xml:space="preserve">; (2) the infections </w:t>
      </w:r>
      <w:r w:rsidR="006E298C">
        <w:t xml:space="preserve">caused by these organisms </w:t>
      </w:r>
      <w:r w:rsidR="007F27FA">
        <w:t xml:space="preserve">can prove fatal for immunocompromised individuals, and (3) the cyst and </w:t>
      </w:r>
      <w:r w:rsidR="00345BB0">
        <w:t xml:space="preserve">especially </w:t>
      </w:r>
      <w:r w:rsidR="007F27FA">
        <w:t xml:space="preserve">oocyst forms of these organisms that exist in </w:t>
      </w:r>
      <w:r w:rsidR="006E298C">
        <w:t>water supplies</w:t>
      </w:r>
      <w:r w:rsidR="007F27FA">
        <w:t xml:space="preserve"> are highly resistant to our disinfection gold</w:t>
      </w:r>
      <w:r w:rsidR="007F27FA" w:rsidRPr="003C0AF1">
        <w:t>-standard of chlorination</w:t>
      </w:r>
      <w:r w:rsidR="009F38EE" w:rsidRPr="003C0AF1">
        <w:t>.</w:t>
      </w:r>
      <w:r w:rsidR="002943D4" w:rsidRPr="003C0AF1">
        <w:t xml:space="preserve">  On April 3, 2019, </w:t>
      </w:r>
      <w:r w:rsidR="00BF103B" w:rsidRPr="003C0AF1">
        <w:t>MDH</w:t>
      </w:r>
      <w:r w:rsidR="002943D4" w:rsidRPr="003C0AF1">
        <w:t xml:space="preserve"> personnel attended a City Council </w:t>
      </w:r>
      <w:r w:rsidR="00BF103B" w:rsidRPr="003C0AF1">
        <w:t xml:space="preserve">meeting </w:t>
      </w:r>
      <w:r w:rsidR="002943D4" w:rsidRPr="003C0AF1">
        <w:t xml:space="preserve">in </w:t>
      </w:r>
      <w:r w:rsidR="007F27FA" w:rsidRPr="003C0AF1">
        <w:t xml:space="preserve">the </w:t>
      </w:r>
      <w:r w:rsidR="006E298C" w:rsidRPr="003C0AF1">
        <w:t>C</w:t>
      </w:r>
      <w:r w:rsidR="007F27FA" w:rsidRPr="003C0AF1">
        <w:t xml:space="preserve">ity in </w:t>
      </w:r>
      <w:r w:rsidR="002943D4" w:rsidRPr="003C0AF1">
        <w:t xml:space="preserve">north-central Minnesota and informed its residents that </w:t>
      </w:r>
      <w:r w:rsidR="002943D4" w:rsidRPr="003C0AF1">
        <w:rPr>
          <w:i/>
        </w:rPr>
        <w:t xml:space="preserve">Cryptosporidium </w:t>
      </w:r>
      <w:r w:rsidR="002943D4" w:rsidRPr="003C0AF1">
        <w:t xml:space="preserve">and </w:t>
      </w:r>
      <w:r w:rsidR="002943D4" w:rsidRPr="003C0AF1">
        <w:rPr>
          <w:i/>
        </w:rPr>
        <w:t xml:space="preserve">Giardia </w:t>
      </w:r>
      <w:r w:rsidR="007F27FA" w:rsidRPr="003C0AF1">
        <w:t xml:space="preserve">were detected </w:t>
      </w:r>
      <w:r w:rsidR="002943D4" w:rsidRPr="003C0AF1">
        <w:t>in their drinking water wells, suggesting potential causes and solutions.</w:t>
      </w:r>
    </w:p>
    <w:p w14:paraId="550FCA69" w14:textId="77777777" w:rsidR="002943D4" w:rsidRDefault="00447E03" w:rsidP="002152D0">
      <w:pPr>
        <w:ind w:firstLine="720"/>
        <w:rPr>
          <w:i/>
        </w:rPr>
      </w:pPr>
      <w:r w:rsidRPr="003C0AF1">
        <w:t>This proposed research study is needed for several</w:t>
      </w:r>
      <w:r>
        <w:t xml:space="preserve"> reasons.  First, although MDH’s data </w:t>
      </w:r>
      <w:r w:rsidR="006E298C">
        <w:t xml:space="preserve">are </w:t>
      </w:r>
      <w:r>
        <w:t xml:space="preserve">highly suggestive that </w:t>
      </w:r>
      <w:r>
        <w:rPr>
          <w:i/>
        </w:rPr>
        <w:t xml:space="preserve">Cryptosporidium </w:t>
      </w:r>
      <w:r>
        <w:t xml:space="preserve">and </w:t>
      </w:r>
      <w:r>
        <w:rPr>
          <w:i/>
        </w:rPr>
        <w:t>Giardia</w:t>
      </w:r>
      <w:r>
        <w:t xml:space="preserve"> are commonly found in groundwater, the results have not been validated by another research laboratory.   Second, the amount of data that MDH </w:t>
      </w:r>
      <w:r w:rsidR="000103E4">
        <w:t>generated</w:t>
      </w:r>
      <w:r>
        <w:t xml:space="preserve"> from a specific public water supply was actually very small.  At the City that will be the focus on this study, for example, MDH collected only </w:t>
      </w:r>
      <w:r w:rsidR="003C0AF1" w:rsidRPr="003C0AF1">
        <w:t xml:space="preserve">12 </w:t>
      </w:r>
      <w:r w:rsidRPr="003C0AF1">
        <w:t xml:space="preserve">samples from City’s wells, of which </w:t>
      </w:r>
      <w:r w:rsidR="003C0AF1" w:rsidRPr="003C0AF1">
        <w:t xml:space="preserve">7 </w:t>
      </w:r>
      <w:r w:rsidRPr="003C0AF1">
        <w:t>were positive</w:t>
      </w:r>
      <w:r>
        <w:t xml:space="preserve"> for </w:t>
      </w:r>
      <w:r>
        <w:rPr>
          <w:i/>
        </w:rPr>
        <w:t xml:space="preserve">Cryptosporidium </w:t>
      </w:r>
      <w:r>
        <w:t xml:space="preserve">and/or </w:t>
      </w:r>
      <w:r>
        <w:rPr>
          <w:i/>
        </w:rPr>
        <w:t>Giardia</w:t>
      </w:r>
      <w:r>
        <w:t xml:space="preserve">. </w:t>
      </w:r>
      <w:r w:rsidR="000103E4">
        <w:t xml:space="preserve">  At the April 3 City Council meeting, one City Council member was nonplussed that MDH was suggesting expensive change</w:t>
      </w:r>
      <w:r w:rsidR="00382EFA">
        <w:t>s</w:t>
      </w:r>
      <w:r w:rsidR="000103E4">
        <w:t xml:space="preserve"> to the City’s water system based on such little documentation; simply put, more data </w:t>
      </w:r>
      <w:r w:rsidR="00382EFA">
        <w:t xml:space="preserve">are </w:t>
      </w:r>
      <w:r w:rsidR="000103E4">
        <w:t xml:space="preserve">needed. </w:t>
      </w:r>
      <w:r>
        <w:t xml:space="preserve"> Third, conventional chlorine disinfection is ineffective against </w:t>
      </w:r>
      <w:r>
        <w:rPr>
          <w:i/>
        </w:rPr>
        <w:t>Cryptosporidium</w:t>
      </w:r>
      <w:r w:rsidR="006E298C">
        <w:rPr>
          <w:i/>
        </w:rPr>
        <w:t xml:space="preserve"> </w:t>
      </w:r>
      <w:r w:rsidR="006E298C">
        <w:t xml:space="preserve">and </w:t>
      </w:r>
      <w:r w:rsidR="00345BB0">
        <w:t xml:space="preserve">moderately effective against </w:t>
      </w:r>
      <w:r w:rsidR="006E298C">
        <w:rPr>
          <w:i/>
        </w:rPr>
        <w:t>Giardia</w:t>
      </w:r>
      <w:r>
        <w:rPr>
          <w:i/>
        </w:rPr>
        <w:t>.</w:t>
      </w:r>
      <w:r w:rsidR="000103E4">
        <w:t xml:space="preserve">  Validation of a viable treatment system for this problem with </w:t>
      </w:r>
      <w:proofErr w:type="gramStart"/>
      <w:r w:rsidR="000103E4">
        <w:t>be</w:t>
      </w:r>
      <w:proofErr w:type="gramEnd"/>
      <w:r w:rsidR="000103E4">
        <w:t xml:space="preserve"> invaluable for numerous Minnesota public water supplies.</w:t>
      </w:r>
      <w:r>
        <w:rPr>
          <w:i/>
        </w:rPr>
        <w:t xml:space="preserve">  </w:t>
      </w:r>
      <w:r w:rsidR="002943D4">
        <w:t>Fourth</w:t>
      </w:r>
      <w:r>
        <w:t>, the cost of resolving the issue is quite high.   For example, MDH recommended that the City re-locate their supply wells, at a cost as high as $100,000; this City serves approximately 100 people ($1,000 per person) with a median house</w:t>
      </w:r>
      <w:r w:rsidR="002943D4">
        <w:t xml:space="preserve">hold income less than $40,000 per year (according to the 2010 US Census).  Finally, the problem is potentially very common across the State of Minnesota.  </w:t>
      </w:r>
      <w:r w:rsidR="00382EFA">
        <w:t>P</w:t>
      </w:r>
      <w:r w:rsidR="002943D4">
        <w:t xml:space="preserve">ublic water supplies that use groundwater </w:t>
      </w:r>
      <w:r w:rsidR="00382EFA">
        <w:t xml:space="preserve">either </w:t>
      </w:r>
      <w:r w:rsidR="002943D4">
        <w:t>provide</w:t>
      </w:r>
      <w:r w:rsidR="00382EFA">
        <w:t xml:space="preserve"> the water</w:t>
      </w:r>
      <w:r w:rsidR="002943D4">
        <w:t xml:space="preserve"> to their communities without any form of disinfection</w:t>
      </w:r>
      <w:r w:rsidR="00382EFA">
        <w:t xml:space="preserve"> or</w:t>
      </w:r>
      <w:r w:rsidR="002943D4">
        <w:t xml:space="preserve"> use chlorine to disinfect their water, which is ineffective </w:t>
      </w:r>
      <w:r w:rsidR="00345BB0">
        <w:t>to moderately effective against protozoan pathogens.</w:t>
      </w:r>
    </w:p>
    <w:p w14:paraId="59D4FB81" w14:textId="77777777" w:rsidR="00447E03" w:rsidRPr="002943D4" w:rsidRDefault="002943D4" w:rsidP="002152D0">
      <w:pPr>
        <w:ind w:firstLine="720"/>
      </w:pPr>
      <w:r>
        <w:t xml:space="preserve">Simply put, the research recent results of the </w:t>
      </w:r>
      <w:r w:rsidR="00BF103B">
        <w:t>MDH study</w:t>
      </w:r>
      <w:r>
        <w:t xml:space="preserve"> are very worrisome and almost certainly require substantial changes to how </w:t>
      </w:r>
      <w:r w:rsidR="00382EFA">
        <w:t xml:space="preserve">small </w:t>
      </w:r>
      <w:r>
        <w:t xml:space="preserve">public water </w:t>
      </w:r>
      <w:r w:rsidR="00382EFA">
        <w:t xml:space="preserve">systems in Minnesota </w:t>
      </w:r>
      <w:r>
        <w:t xml:space="preserve">are designed and operated.  This research will inform the State on the benefits of treating groundwater for </w:t>
      </w:r>
      <w:r>
        <w:rPr>
          <w:i/>
        </w:rPr>
        <w:t xml:space="preserve">Cryptosporidium </w:t>
      </w:r>
      <w:r>
        <w:t xml:space="preserve">and </w:t>
      </w:r>
      <w:r>
        <w:rPr>
          <w:i/>
        </w:rPr>
        <w:t>Giardia</w:t>
      </w:r>
      <w:r>
        <w:t xml:space="preserve"> and provide guidance on the most cost-effective approaches to do so.</w:t>
      </w:r>
    </w:p>
    <w:p w14:paraId="5AC16A24" w14:textId="77777777" w:rsidR="00C02DAD" w:rsidRPr="00E30687" w:rsidRDefault="00C02DAD" w:rsidP="006E0EFD">
      <w:pPr>
        <w:rPr>
          <w:rFonts w:cs="Arial"/>
          <w:b/>
          <w:sz w:val="18"/>
          <w:szCs w:val="18"/>
        </w:rPr>
      </w:pPr>
    </w:p>
    <w:p w14:paraId="4911BE98" w14:textId="77777777" w:rsidR="006E0EFD" w:rsidRPr="000A658E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tbl>
      <w:tblPr>
        <w:tblW w:w="10350" w:type="dxa"/>
        <w:tblLook w:val="04A0" w:firstRow="1" w:lastRow="0" w:firstColumn="1" w:lastColumn="0" w:noHBand="0" w:noVBand="1"/>
      </w:tblPr>
      <w:tblGrid>
        <w:gridCol w:w="7731"/>
        <w:gridCol w:w="2344"/>
        <w:gridCol w:w="275"/>
      </w:tblGrid>
      <w:tr w:rsidR="002152D0" w:rsidRPr="00EB5831" w14:paraId="12D2E856" w14:textId="77777777">
        <w:tc>
          <w:tcPr>
            <w:tcW w:w="10080" w:type="dxa"/>
            <w:gridSpan w:val="2"/>
          </w:tcPr>
          <w:p w14:paraId="48C9AD0D" w14:textId="77777777" w:rsidR="002152D0" w:rsidRPr="007819B9" w:rsidRDefault="00686B53" w:rsidP="001C25DE">
            <w:pPr>
              <w:widowControl w:val="0"/>
              <w:ind w:right="-112"/>
              <w:rPr>
                <w:rFonts w:cs="Arial"/>
                <w:i/>
              </w:rPr>
            </w:pPr>
            <w:r w:rsidRPr="00EB5831">
              <w:rPr>
                <w:rFonts w:cs="Arial"/>
                <w:b/>
              </w:rPr>
              <w:t>Activity 1:</w:t>
            </w:r>
            <w:r w:rsidR="002152D0">
              <w:rPr>
                <w:rFonts w:cs="Arial"/>
                <w:i/>
              </w:rPr>
              <w:t xml:space="preserve"> </w:t>
            </w:r>
            <w:r w:rsidR="007819B9">
              <w:rPr>
                <w:rFonts w:cs="Arial"/>
                <w:i/>
              </w:rPr>
              <w:t>Quantify Cryptosporidium</w:t>
            </w:r>
            <w:r w:rsidR="007819B9">
              <w:rPr>
                <w:rFonts w:cs="Arial"/>
              </w:rPr>
              <w:t xml:space="preserve">, </w:t>
            </w:r>
            <w:r w:rsidR="007819B9">
              <w:rPr>
                <w:rFonts w:cs="Arial"/>
                <w:i/>
              </w:rPr>
              <w:t>Giardia, and other pathogens in the wells and at the tap prior to the implementation of a drinking water treatment system.</w:t>
            </w:r>
          </w:p>
          <w:p w14:paraId="7C00B1C6" w14:textId="77777777" w:rsidR="002152D0" w:rsidRPr="001C25DE" w:rsidRDefault="008A5FD9" w:rsidP="001C25DE">
            <w:pPr>
              <w:widowControl w:val="0"/>
              <w:ind w:right="-112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="00686B53" w:rsidRPr="00EB5831">
              <w:rPr>
                <w:rFonts w:cs="Arial"/>
                <w:i/>
              </w:rPr>
              <w:t xml:space="preserve"> </w:t>
            </w:r>
            <w:r w:rsidR="00110E99">
              <w:rPr>
                <w:rFonts w:cs="Arial"/>
              </w:rPr>
              <w:t xml:space="preserve">Samples will be collected from each of the supply wells and from 5 residential taps twice per month for the first year of the project (168 samples). We will then characterize the microorganisms in these samples using next-generation DNA sequencing technology. We will use quantitative PCR (qPCR) to quantify the presence of specific pathogenic microorganisms (e.g., </w:t>
            </w:r>
            <w:r w:rsidR="00110E99">
              <w:rPr>
                <w:rFonts w:cs="Arial"/>
                <w:i/>
              </w:rPr>
              <w:t>Cryptosporidium</w:t>
            </w:r>
            <w:r w:rsidR="00110E99">
              <w:rPr>
                <w:rFonts w:cs="Arial"/>
              </w:rPr>
              <w:t xml:space="preserve">, </w:t>
            </w:r>
            <w:r w:rsidR="00110E99">
              <w:rPr>
                <w:rFonts w:cs="Arial"/>
                <w:i/>
              </w:rPr>
              <w:t xml:space="preserve">Giardia, </w:t>
            </w:r>
            <w:r w:rsidR="00110E99" w:rsidRPr="00441456">
              <w:rPr>
                <w:rFonts w:cs="Arial"/>
                <w:i/>
              </w:rPr>
              <w:t>Salmonella</w:t>
            </w:r>
            <w:r w:rsidR="00110E99">
              <w:rPr>
                <w:rFonts w:cs="Arial"/>
              </w:rPr>
              <w:t xml:space="preserve">, </w:t>
            </w:r>
            <w:r w:rsidR="006C6551">
              <w:rPr>
                <w:rFonts w:cs="Arial"/>
                <w:i/>
              </w:rPr>
              <w:t>rotavirus</w:t>
            </w:r>
            <w:r w:rsidR="00110E99">
              <w:rPr>
                <w:rFonts w:cs="Arial"/>
                <w:i/>
              </w:rPr>
              <w:t xml:space="preserve">, E. </w:t>
            </w:r>
            <w:r w:rsidR="00110E99">
              <w:rPr>
                <w:rFonts w:cs="Arial"/>
                <w:i/>
              </w:rPr>
              <w:lastRenderedPageBreak/>
              <w:t>coli</w:t>
            </w:r>
            <w:r w:rsidR="00110E99">
              <w:rPr>
                <w:rFonts w:cs="Arial"/>
              </w:rPr>
              <w:t xml:space="preserve">) </w:t>
            </w:r>
            <w:r w:rsidR="00110E99" w:rsidRPr="00441456">
              <w:rPr>
                <w:rFonts w:cs="Arial"/>
              </w:rPr>
              <w:t>known</w:t>
            </w:r>
            <w:r w:rsidR="00110E99">
              <w:rPr>
                <w:rFonts w:cs="Arial"/>
              </w:rPr>
              <w:t xml:space="preserve"> to cause disease in humans as well as </w:t>
            </w:r>
            <w:proofErr w:type="spellStart"/>
            <w:r w:rsidR="00110E99" w:rsidRPr="001C25DE">
              <w:rPr>
                <w:rFonts w:cs="Arial"/>
              </w:rPr>
              <w:t>crAssphage</w:t>
            </w:r>
            <w:proofErr w:type="spellEnd"/>
            <w:r w:rsidR="00110E99" w:rsidRPr="001C25DE">
              <w:rPr>
                <w:rFonts w:cs="Arial"/>
              </w:rPr>
              <w:t>,</w:t>
            </w:r>
            <w:r w:rsidR="00110E99">
              <w:rPr>
                <w:rFonts w:cs="Arial"/>
              </w:rPr>
              <w:t xml:space="preserve"> a viral marker of human fecal contamination (i.e., as opposed to animal).  Finally, we will collect other water quality data</w:t>
            </w:r>
            <w:r w:rsidR="006C6551">
              <w:rPr>
                <w:rFonts w:cs="Arial"/>
              </w:rPr>
              <w:t xml:space="preserve"> that are commonly used to characterize drinking water quality.</w:t>
            </w:r>
          </w:p>
          <w:p w14:paraId="41B0E1E8" w14:textId="77777777" w:rsidR="002152D0" w:rsidRPr="00D81C14" w:rsidRDefault="006C6551" w:rsidP="007819B9">
            <w:pPr>
              <w:autoSpaceDE w:val="0"/>
              <w:autoSpaceDN w:val="0"/>
              <w:adjustRightInd w:val="0"/>
              <w:ind w:right="-201"/>
              <w:rPr>
                <w:rFonts w:cs="Arial"/>
                <w:b/>
                <w:bCs/>
                <w:color w:val="000000"/>
                <w:highlight w:val="yellow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="00224B41">
              <w:rPr>
                <w:rFonts w:cs="Arial"/>
                <w:b/>
                <w:bCs/>
                <w:color w:val="000000"/>
              </w:rPr>
              <w:t>ENRTF BUDGET: $209,849</w:t>
            </w:r>
          </w:p>
        </w:tc>
        <w:tc>
          <w:tcPr>
            <w:tcW w:w="270" w:type="dxa"/>
          </w:tcPr>
          <w:p w14:paraId="39D74731" w14:textId="77777777" w:rsidR="00686B53" w:rsidRPr="00EB5831" w:rsidRDefault="00686B53" w:rsidP="00781A6B">
            <w:pPr>
              <w:ind w:right="-201"/>
              <w:rPr>
                <w:rFonts w:cs="Arial"/>
              </w:rPr>
            </w:pPr>
          </w:p>
        </w:tc>
      </w:tr>
      <w:tr w:rsidR="002152D0" w:rsidRPr="009D6EC8" w14:paraId="770F63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7735" w:type="dxa"/>
          </w:tcPr>
          <w:p w14:paraId="4027F44C" w14:textId="77777777" w:rsidR="002152D0" w:rsidRPr="00110E99" w:rsidRDefault="002152D0" w:rsidP="002152D0">
            <w:pPr>
              <w:rPr>
                <w:rFonts w:cs="Arial"/>
                <w:b/>
              </w:rPr>
            </w:pPr>
            <w:r w:rsidRPr="00110E99">
              <w:rPr>
                <w:rFonts w:cs="Arial"/>
                <w:b/>
              </w:rPr>
              <w:lastRenderedPageBreak/>
              <w:t>Outcome</w:t>
            </w:r>
          </w:p>
        </w:tc>
        <w:tc>
          <w:tcPr>
            <w:tcW w:w="2335" w:type="dxa"/>
          </w:tcPr>
          <w:p w14:paraId="57D3E545" w14:textId="77777777" w:rsidR="002152D0" w:rsidRPr="00110E99" w:rsidRDefault="002152D0" w:rsidP="002152D0">
            <w:pPr>
              <w:jc w:val="center"/>
              <w:rPr>
                <w:rFonts w:cs="Arial"/>
                <w:b/>
              </w:rPr>
            </w:pPr>
            <w:r w:rsidRPr="00110E99">
              <w:rPr>
                <w:rFonts w:cs="Arial"/>
                <w:b/>
              </w:rPr>
              <w:t>Completion Date</w:t>
            </w:r>
          </w:p>
        </w:tc>
      </w:tr>
      <w:tr w:rsidR="002152D0" w:rsidRPr="009D6EC8" w14:paraId="15EF8A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7735" w:type="dxa"/>
          </w:tcPr>
          <w:p w14:paraId="24768F98" w14:textId="77777777" w:rsidR="002152D0" w:rsidRPr="00110E99" w:rsidRDefault="002152D0" w:rsidP="002152D0">
            <w:pPr>
              <w:rPr>
                <w:rFonts w:cs="Arial"/>
                <w:i/>
              </w:rPr>
            </w:pPr>
            <w:r w:rsidRPr="00110E99">
              <w:rPr>
                <w:rFonts w:cs="Arial"/>
                <w:i/>
              </w:rPr>
              <w:t>1. Sample collection and Genomic DNA extractions</w:t>
            </w:r>
          </w:p>
        </w:tc>
        <w:tc>
          <w:tcPr>
            <w:tcW w:w="2335" w:type="dxa"/>
          </w:tcPr>
          <w:p w14:paraId="736F752F" w14:textId="77777777" w:rsidR="002152D0" w:rsidRPr="00110E99" w:rsidRDefault="00110E99" w:rsidP="00110E99">
            <w:pPr>
              <w:rPr>
                <w:rFonts w:cs="Arial"/>
                <w:i/>
              </w:rPr>
            </w:pPr>
            <w:r w:rsidRPr="00110E99">
              <w:rPr>
                <w:rFonts w:cs="Arial"/>
              </w:rPr>
              <w:t>June 30</w:t>
            </w:r>
            <w:r w:rsidR="002152D0" w:rsidRPr="00110E99">
              <w:rPr>
                <w:rFonts w:cs="Arial"/>
              </w:rPr>
              <w:t>, 202</w:t>
            </w:r>
            <w:r w:rsidRPr="00110E99">
              <w:rPr>
                <w:rFonts w:cs="Arial"/>
              </w:rPr>
              <w:t>1</w:t>
            </w:r>
          </w:p>
        </w:tc>
      </w:tr>
      <w:tr w:rsidR="002152D0" w:rsidRPr="009D6EC8" w14:paraId="66106F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7735" w:type="dxa"/>
          </w:tcPr>
          <w:p w14:paraId="219D74DA" w14:textId="77777777" w:rsidR="002152D0" w:rsidRPr="00110E99" w:rsidRDefault="002152D0" w:rsidP="002152D0">
            <w:pPr>
              <w:rPr>
                <w:rFonts w:cs="Arial"/>
                <w:i/>
              </w:rPr>
            </w:pPr>
            <w:r w:rsidRPr="00110E99">
              <w:rPr>
                <w:rFonts w:cs="Arial"/>
                <w:i/>
              </w:rPr>
              <w:t>2. Next-Generation DNA sequencing</w:t>
            </w:r>
          </w:p>
        </w:tc>
        <w:tc>
          <w:tcPr>
            <w:tcW w:w="2335" w:type="dxa"/>
          </w:tcPr>
          <w:p w14:paraId="30988419" w14:textId="77777777" w:rsidR="002152D0" w:rsidRPr="00110E99" w:rsidRDefault="002152D0" w:rsidP="00110E99">
            <w:pPr>
              <w:rPr>
                <w:rFonts w:cs="Arial"/>
                <w:i/>
              </w:rPr>
            </w:pPr>
            <w:r w:rsidRPr="00110E99">
              <w:rPr>
                <w:rFonts w:cs="Arial"/>
              </w:rPr>
              <w:t>December 31, 202</w:t>
            </w:r>
            <w:r w:rsidR="00110E99" w:rsidRPr="00110E99">
              <w:rPr>
                <w:rFonts w:cs="Arial"/>
              </w:rPr>
              <w:t>1</w:t>
            </w:r>
          </w:p>
        </w:tc>
      </w:tr>
      <w:tr w:rsidR="002152D0" w:rsidRPr="009D6EC8" w14:paraId="72DA2D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  <w:trHeight w:val="116"/>
        </w:trPr>
        <w:tc>
          <w:tcPr>
            <w:tcW w:w="7735" w:type="dxa"/>
          </w:tcPr>
          <w:p w14:paraId="1F99FDD8" w14:textId="77777777" w:rsidR="002152D0" w:rsidRPr="00110E99" w:rsidRDefault="002152D0" w:rsidP="002152D0">
            <w:pPr>
              <w:rPr>
                <w:rFonts w:cs="Arial"/>
                <w:i/>
              </w:rPr>
            </w:pPr>
            <w:r w:rsidRPr="00110E99">
              <w:rPr>
                <w:rFonts w:cs="Arial"/>
                <w:i/>
              </w:rPr>
              <w:t>3. Quantification of specific microorganisms</w:t>
            </w:r>
          </w:p>
        </w:tc>
        <w:tc>
          <w:tcPr>
            <w:tcW w:w="2335" w:type="dxa"/>
          </w:tcPr>
          <w:p w14:paraId="71AC1CCF" w14:textId="77777777" w:rsidR="002152D0" w:rsidRPr="00110E99" w:rsidRDefault="002152D0" w:rsidP="00110E99">
            <w:pPr>
              <w:rPr>
                <w:rFonts w:cs="Arial"/>
                <w:i/>
              </w:rPr>
            </w:pPr>
            <w:r w:rsidRPr="00110E99">
              <w:rPr>
                <w:rFonts w:cs="Arial"/>
              </w:rPr>
              <w:t>December 31, 202</w:t>
            </w:r>
            <w:r w:rsidR="00110E99" w:rsidRPr="00110E99">
              <w:rPr>
                <w:rFonts w:cs="Arial"/>
              </w:rPr>
              <w:t>1</w:t>
            </w:r>
          </w:p>
        </w:tc>
      </w:tr>
      <w:tr w:rsidR="002152D0" w:rsidRPr="009D6EC8" w14:paraId="377F82B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  <w:trHeight w:val="116"/>
        </w:trPr>
        <w:tc>
          <w:tcPr>
            <w:tcW w:w="7735" w:type="dxa"/>
          </w:tcPr>
          <w:p w14:paraId="3702359D" w14:textId="77777777" w:rsidR="002152D0" w:rsidRPr="00110E99" w:rsidRDefault="002152D0" w:rsidP="002152D0">
            <w:pPr>
              <w:rPr>
                <w:rFonts w:cs="Arial"/>
                <w:i/>
              </w:rPr>
            </w:pPr>
            <w:r w:rsidRPr="00110E99">
              <w:rPr>
                <w:rFonts w:cs="Arial"/>
                <w:i/>
              </w:rPr>
              <w:t>4. Data Analysis</w:t>
            </w:r>
          </w:p>
        </w:tc>
        <w:tc>
          <w:tcPr>
            <w:tcW w:w="2335" w:type="dxa"/>
          </w:tcPr>
          <w:p w14:paraId="6ACF8DCB" w14:textId="77777777" w:rsidR="002152D0" w:rsidRPr="00110E99" w:rsidRDefault="002152D0" w:rsidP="002152D0">
            <w:pPr>
              <w:rPr>
                <w:rFonts w:cs="Arial"/>
                <w:i/>
              </w:rPr>
            </w:pPr>
            <w:r w:rsidRPr="00110E99">
              <w:rPr>
                <w:rFonts w:cs="Arial"/>
              </w:rPr>
              <w:t>April 30, 2023</w:t>
            </w:r>
          </w:p>
        </w:tc>
      </w:tr>
    </w:tbl>
    <w:p w14:paraId="31C62B34" w14:textId="77777777" w:rsidR="00C02DAD" w:rsidRPr="00E30687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  <w:sz w:val="18"/>
          <w:szCs w:val="18"/>
        </w:rPr>
      </w:pPr>
    </w:p>
    <w:tbl>
      <w:tblPr>
        <w:tblW w:w="13338" w:type="dxa"/>
        <w:tblLook w:val="04A0" w:firstRow="1" w:lastRow="0" w:firstColumn="1" w:lastColumn="0" w:noHBand="0" w:noVBand="1"/>
      </w:tblPr>
      <w:tblGrid>
        <w:gridCol w:w="7740"/>
        <w:gridCol w:w="2330"/>
        <w:gridCol w:w="1000"/>
        <w:gridCol w:w="2268"/>
      </w:tblGrid>
      <w:tr w:rsidR="002152D0" w:rsidRPr="00EB5831" w14:paraId="7C501333" w14:textId="77777777">
        <w:tc>
          <w:tcPr>
            <w:tcW w:w="11070" w:type="dxa"/>
            <w:gridSpan w:val="3"/>
          </w:tcPr>
          <w:p w14:paraId="1A742E61" w14:textId="77777777" w:rsidR="002152D0" w:rsidRDefault="002152D0" w:rsidP="00CA08FE">
            <w:pPr>
              <w:widowControl w:val="0"/>
              <w:ind w:right="791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 w:rsidR="007819B9">
              <w:rPr>
                <w:rFonts w:cs="Arial"/>
                <w:b/>
              </w:rPr>
              <w:t>2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i/>
              </w:rPr>
              <w:t xml:space="preserve"> </w:t>
            </w:r>
            <w:r w:rsidR="007819B9">
              <w:rPr>
                <w:rFonts w:cs="Arial"/>
                <w:i/>
              </w:rPr>
              <w:t>Design and implement a water treatment system specifically designed to remove the risk posed by Giardia and Cryptosporidium in groundwater.</w:t>
            </w:r>
          </w:p>
          <w:p w14:paraId="7623F376" w14:textId="77777777" w:rsidR="002152D0" w:rsidRDefault="002152D0" w:rsidP="00CA08FE">
            <w:pPr>
              <w:keepNext/>
              <w:ind w:right="791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7819B9">
              <w:rPr>
                <w:rFonts w:cs="Arial"/>
              </w:rPr>
              <w:t xml:space="preserve">We will work with a licensed engineer (chosen by the City) to identify the appropriate technology to solve the water quality problem (likely the installation of a </w:t>
            </w:r>
            <w:r w:rsidR="006E298C">
              <w:rPr>
                <w:rFonts w:cs="Arial"/>
              </w:rPr>
              <w:t xml:space="preserve">ultraviolet light or </w:t>
            </w:r>
            <w:r w:rsidR="007819B9">
              <w:rPr>
                <w:rFonts w:cs="Arial"/>
              </w:rPr>
              <w:t>UV disinfection system)</w:t>
            </w:r>
            <w:r w:rsidR="004A340A">
              <w:rPr>
                <w:rFonts w:cs="Arial"/>
              </w:rPr>
              <w:t>.  This technology will then be implemented and operated for the second year of the study.</w:t>
            </w:r>
          </w:p>
          <w:p w14:paraId="5C3FE6DC" w14:textId="77777777" w:rsidR="002152D0" w:rsidRPr="002152D0" w:rsidRDefault="002152D0" w:rsidP="003827A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3827AA">
              <w:rPr>
                <w:rFonts w:cs="Arial"/>
                <w:b/>
                <w:bCs/>
                <w:color w:val="000000"/>
              </w:rPr>
              <w:t>80,000</w:t>
            </w:r>
          </w:p>
        </w:tc>
        <w:tc>
          <w:tcPr>
            <w:tcW w:w="2268" w:type="dxa"/>
          </w:tcPr>
          <w:p w14:paraId="1A885C77" w14:textId="77777777" w:rsidR="002152D0" w:rsidRPr="00EB5831" w:rsidRDefault="002152D0" w:rsidP="0064538C">
            <w:pPr>
              <w:rPr>
                <w:rFonts w:cs="Arial"/>
              </w:rPr>
            </w:pPr>
          </w:p>
        </w:tc>
      </w:tr>
      <w:tr w:rsidR="002152D0" w:rsidRPr="009D6EC8" w14:paraId="266FCD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268" w:type="dxa"/>
        </w:trPr>
        <w:tc>
          <w:tcPr>
            <w:tcW w:w="7740" w:type="dxa"/>
          </w:tcPr>
          <w:p w14:paraId="26FD80CB" w14:textId="77777777" w:rsidR="002152D0" w:rsidRPr="009D6EC8" w:rsidRDefault="002152D0" w:rsidP="0064538C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2330" w:type="dxa"/>
          </w:tcPr>
          <w:p w14:paraId="6642A98F" w14:textId="77777777" w:rsidR="002152D0" w:rsidRPr="009D6EC8" w:rsidRDefault="002152D0" w:rsidP="0064538C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D81C14" w:rsidRPr="009D6EC8" w14:paraId="591C54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268" w:type="dxa"/>
        </w:trPr>
        <w:tc>
          <w:tcPr>
            <w:tcW w:w="7740" w:type="dxa"/>
          </w:tcPr>
          <w:p w14:paraId="2A2CBA8A" w14:textId="77777777" w:rsidR="00D81C14" w:rsidRPr="009D6EC8" w:rsidRDefault="00D81C14" w:rsidP="003827AA">
            <w:pPr>
              <w:rPr>
                <w:rFonts w:cs="Arial"/>
                <w:i/>
              </w:rPr>
            </w:pPr>
            <w:r w:rsidRPr="0074634E">
              <w:rPr>
                <w:rFonts w:cs="Arial"/>
                <w:i/>
              </w:rPr>
              <w:t xml:space="preserve">1. </w:t>
            </w:r>
            <w:r w:rsidR="003827AA">
              <w:rPr>
                <w:rFonts w:cs="Arial"/>
                <w:i/>
              </w:rPr>
              <w:t>Select, Design, and Install Treatment System to Resolve Problems with Giardia and Cryptosporidium</w:t>
            </w:r>
          </w:p>
        </w:tc>
        <w:tc>
          <w:tcPr>
            <w:tcW w:w="2330" w:type="dxa"/>
          </w:tcPr>
          <w:p w14:paraId="10FD1BB3" w14:textId="77777777" w:rsidR="00D81C14" w:rsidRPr="009D6EC8" w:rsidRDefault="003827AA" w:rsidP="00D81C14">
            <w:pPr>
              <w:rPr>
                <w:rFonts w:cs="Arial"/>
                <w:i/>
              </w:rPr>
            </w:pPr>
            <w:r>
              <w:rPr>
                <w:rFonts w:cs="Arial"/>
              </w:rPr>
              <w:t>June 30, 2021</w:t>
            </w:r>
          </w:p>
        </w:tc>
      </w:tr>
      <w:tr w:rsidR="00D81C14" w:rsidRPr="009D6EC8" w14:paraId="007D0B7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268" w:type="dxa"/>
        </w:trPr>
        <w:tc>
          <w:tcPr>
            <w:tcW w:w="7740" w:type="dxa"/>
          </w:tcPr>
          <w:p w14:paraId="2ED549DD" w14:textId="77777777" w:rsidR="00D81C14" w:rsidRPr="009D6EC8" w:rsidRDefault="00D81C14" w:rsidP="00D81C1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</w:t>
            </w:r>
            <w:r w:rsidRPr="0074634E">
              <w:rPr>
                <w:rFonts w:cs="Arial"/>
                <w:i/>
              </w:rPr>
              <w:t xml:space="preserve">. </w:t>
            </w:r>
            <w:r>
              <w:rPr>
                <w:rFonts w:cs="Arial"/>
                <w:i/>
              </w:rPr>
              <w:t>Statistical Analysis</w:t>
            </w:r>
          </w:p>
        </w:tc>
        <w:tc>
          <w:tcPr>
            <w:tcW w:w="2330" w:type="dxa"/>
          </w:tcPr>
          <w:p w14:paraId="477F7A20" w14:textId="77777777" w:rsidR="00D81C14" w:rsidRPr="009D6EC8" w:rsidRDefault="003827AA" w:rsidP="00D81C14">
            <w:pPr>
              <w:rPr>
                <w:rFonts w:cs="Arial"/>
                <w:i/>
              </w:rPr>
            </w:pPr>
            <w:r>
              <w:rPr>
                <w:rFonts w:cs="Arial"/>
              </w:rPr>
              <w:t xml:space="preserve">June </w:t>
            </w:r>
            <w:r w:rsidR="00D81C14">
              <w:rPr>
                <w:rFonts w:cs="Arial"/>
              </w:rPr>
              <w:t>30</w:t>
            </w:r>
            <w:r w:rsidR="00D81C14" w:rsidRPr="0074634E">
              <w:rPr>
                <w:rFonts w:cs="Arial"/>
              </w:rPr>
              <w:t>, 20</w:t>
            </w:r>
            <w:r w:rsidR="00D81C14">
              <w:rPr>
                <w:rFonts w:cs="Arial"/>
              </w:rPr>
              <w:t>23</w:t>
            </w:r>
          </w:p>
        </w:tc>
      </w:tr>
    </w:tbl>
    <w:p w14:paraId="582DDF5F" w14:textId="77777777" w:rsidR="002152D0" w:rsidRPr="00E30687" w:rsidRDefault="002152D0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  <w:sz w:val="18"/>
          <w:szCs w:val="18"/>
        </w:rPr>
      </w:pPr>
    </w:p>
    <w:tbl>
      <w:tblPr>
        <w:tblW w:w="11014" w:type="dxa"/>
        <w:tblLook w:val="04A0" w:firstRow="1" w:lastRow="0" w:firstColumn="1" w:lastColumn="0" w:noHBand="0" w:noVBand="1"/>
      </w:tblPr>
      <w:tblGrid>
        <w:gridCol w:w="10741"/>
        <w:gridCol w:w="273"/>
      </w:tblGrid>
      <w:tr w:rsidR="002152D0" w:rsidRPr="00EB5831" w14:paraId="5B55685C" w14:textId="77777777">
        <w:trPr>
          <w:trHeight w:val="3019"/>
        </w:trPr>
        <w:tc>
          <w:tcPr>
            <w:tcW w:w="10741" w:type="dxa"/>
          </w:tcPr>
          <w:p w14:paraId="72DF251D" w14:textId="77777777" w:rsidR="002152D0" w:rsidRDefault="002152D0" w:rsidP="00781A6B">
            <w:pPr>
              <w:widowControl w:val="0"/>
              <w:ind w:right="464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3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i/>
              </w:rPr>
              <w:t xml:space="preserve"> </w:t>
            </w:r>
            <w:r w:rsidR="009D1B78">
              <w:rPr>
                <w:rFonts w:cs="Arial"/>
                <w:i/>
              </w:rPr>
              <w:t>Quantify Cryptosporidium</w:t>
            </w:r>
            <w:r w:rsidR="009D1B78">
              <w:rPr>
                <w:rFonts w:cs="Arial"/>
              </w:rPr>
              <w:t xml:space="preserve">, </w:t>
            </w:r>
            <w:r w:rsidR="009D1B78">
              <w:rPr>
                <w:rFonts w:cs="Arial"/>
                <w:i/>
              </w:rPr>
              <w:t>Giardia, and other pathogens in the wells and at the tap after the implementation of a drinking water treatment system.</w:t>
            </w:r>
          </w:p>
          <w:p w14:paraId="759FBA86" w14:textId="77777777" w:rsidR="002152D0" w:rsidRPr="004A340A" w:rsidRDefault="002152D0" w:rsidP="00781A6B">
            <w:pPr>
              <w:keepNext/>
              <w:ind w:right="464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4A340A">
              <w:rPr>
                <w:rFonts w:cs="Arial"/>
              </w:rPr>
              <w:t xml:space="preserve">This activity will mimic Activity 1, </w:t>
            </w:r>
            <w:r w:rsidR="006E298C">
              <w:rPr>
                <w:rFonts w:cs="Arial"/>
              </w:rPr>
              <w:t xml:space="preserve">except </w:t>
            </w:r>
            <w:r w:rsidR="004A340A">
              <w:rPr>
                <w:rFonts w:cs="Arial"/>
              </w:rPr>
              <w:t xml:space="preserve">that the chosen </w:t>
            </w:r>
            <w:r w:rsidR="006E298C">
              <w:rPr>
                <w:rFonts w:cs="Arial"/>
              </w:rPr>
              <w:t xml:space="preserve">treatment system </w:t>
            </w:r>
            <w:r w:rsidR="004A340A">
              <w:rPr>
                <w:rFonts w:cs="Arial"/>
              </w:rPr>
              <w:t>will be operating.  That is, the City’s water supply will likely be disinfected by ultraviolet light during year 2</w:t>
            </w:r>
            <w:r w:rsidR="006E298C">
              <w:rPr>
                <w:rFonts w:cs="Arial"/>
              </w:rPr>
              <w:t xml:space="preserve"> and we will document whether the system is working adequately</w:t>
            </w:r>
            <w:r w:rsidR="004A340A">
              <w:rPr>
                <w:rFonts w:cs="Arial"/>
              </w:rPr>
              <w:t>.  All analyses will be the same as Activity 1.</w:t>
            </w:r>
          </w:p>
          <w:p w14:paraId="0BC3A397" w14:textId="77777777" w:rsidR="00CA3549" w:rsidRDefault="00D81C14" w:rsidP="004A340A">
            <w:pPr>
              <w:keepNext/>
              <w:ind w:right="464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224B41">
              <w:rPr>
                <w:rFonts w:cs="Arial"/>
                <w:b/>
                <w:bCs/>
                <w:color w:val="000000"/>
              </w:rPr>
              <w:t>209,849</w:t>
            </w:r>
          </w:p>
          <w:tbl>
            <w:tblPr>
              <w:tblW w:w="10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50"/>
              <w:gridCol w:w="2400"/>
            </w:tblGrid>
            <w:tr w:rsidR="004A340A" w:rsidRPr="009D6EC8" w14:paraId="6CCEAF21" w14:textId="77777777">
              <w:tc>
                <w:tcPr>
                  <w:tcW w:w="7735" w:type="dxa"/>
                </w:tcPr>
                <w:p w14:paraId="6B678389" w14:textId="77777777" w:rsidR="004A340A" w:rsidRPr="00110E99" w:rsidRDefault="004A340A" w:rsidP="00091204">
                  <w:pPr>
                    <w:rPr>
                      <w:rFonts w:cs="Arial"/>
                      <w:b/>
                    </w:rPr>
                  </w:pPr>
                  <w:r w:rsidRPr="00110E99">
                    <w:rPr>
                      <w:rFonts w:cs="Arial"/>
                      <w:b/>
                    </w:rPr>
                    <w:t>Outcome</w:t>
                  </w:r>
                </w:p>
              </w:tc>
              <w:tc>
                <w:tcPr>
                  <w:tcW w:w="2335" w:type="dxa"/>
                </w:tcPr>
                <w:p w14:paraId="7D2E1AFF" w14:textId="77777777" w:rsidR="004A340A" w:rsidRPr="00110E99" w:rsidRDefault="004A340A" w:rsidP="00091204">
                  <w:pPr>
                    <w:jc w:val="center"/>
                    <w:rPr>
                      <w:rFonts w:cs="Arial"/>
                      <w:b/>
                    </w:rPr>
                  </w:pPr>
                  <w:r w:rsidRPr="00110E99">
                    <w:rPr>
                      <w:rFonts w:cs="Arial"/>
                      <w:b/>
                    </w:rPr>
                    <w:t>Completion Date</w:t>
                  </w:r>
                </w:p>
              </w:tc>
            </w:tr>
            <w:tr w:rsidR="004A340A" w:rsidRPr="009D6EC8" w14:paraId="2AA71A98" w14:textId="77777777">
              <w:tc>
                <w:tcPr>
                  <w:tcW w:w="7735" w:type="dxa"/>
                </w:tcPr>
                <w:p w14:paraId="502186FD" w14:textId="77777777" w:rsidR="004A340A" w:rsidRPr="00110E99" w:rsidRDefault="004A340A" w:rsidP="00091204">
                  <w:pPr>
                    <w:rPr>
                      <w:rFonts w:cs="Arial"/>
                      <w:i/>
                    </w:rPr>
                  </w:pPr>
                  <w:r w:rsidRPr="00110E99">
                    <w:rPr>
                      <w:rFonts w:cs="Arial"/>
                      <w:i/>
                    </w:rPr>
                    <w:t>1. Sample collection and Genomic DNA extractions</w:t>
                  </w:r>
                </w:p>
              </w:tc>
              <w:tc>
                <w:tcPr>
                  <w:tcW w:w="2335" w:type="dxa"/>
                </w:tcPr>
                <w:p w14:paraId="31447772" w14:textId="77777777" w:rsidR="004A340A" w:rsidRPr="00110E99" w:rsidRDefault="004A340A" w:rsidP="004A340A">
                  <w:pPr>
                    <w:rPr>
                      <w:rFonts w:cs="Arial"/>
                      <w:i/>
                    </w:rPr>
                  </w:pPr>
                  <w:r w:rsidRPr="00110E99">
                    <w:rPr>
                      <w:rFonts w:cs="Arial"/>
                    </w:rPr>
                    <w:t>June 30, 202</w:t>
                  </w:r>
                  <w:r>
                    <w:rPr>
                      <w:rFonts w:cs="Arial"/>
                    </w:rPr>
                    <w:t>2</w:t>
                  </w:r>
                </w:p>
              </w:tc>
            </w:tr>
            <w:tr w:rsidR="004A340A" w:rsidRPr="009D6EC8" w14:paraId="72B95C7D" w14:textId="77777777">
              <w:tc>
                <w:tcPr>
                  <w:tcW w:w="7735" w:type="dxa"/>
                </w:tcPr>
                <w:p w14:paraId="67B40C50" w14:textId="77777777" w:rsidR="004A340A" w:rsidRPr="00110E99" w:rsidRDefault="004A340A" w:rsidP="00091204">
                  <w:pPr>
                    <w:rPr>
                      <w:rFonts w:cs="Arial"/>
                      <w:i/>
                    </w:rPr>
                  </w:pPr>
                  <w:r w:rsidRPr="00110E99">
                    <w:rPr>
                      <w:rFonts w:cs="Arial"/>
                      <w:i/>
                    </w:rPr>
                    <w:t>2. Next-Generation DNA sequencing</w:t>
                  </w:r>
                </w:p>
              </w:tc>
              <w:tc>
                <w:tcPr>
                  <w:tcW w:w="2335" w:type="dxa"/>
                </w:tcPr>
                <w:p w14:paraId="014943C4" w14:textId="77777777" w:rsidR="004A340A" w:rsidRPr="00110E99" w:rsidRDefault="004A340A" w:rsidP="004A340A">
                  <w:pPr>
                    <w:rPr>
                      <w:rFonts w:cs="Arial"/>
                      <w:i/>
                    </w:rPr>
                  </w:pPr>
                  <w:r w:rsidRPr="00110E99">
                    <w:rPr>
                      <w:rFonts w:cs="Arial"/>
                    </w:rPr>
                    <w:t>December 31, 202</w:t>
                  </w:r>
                  <w:r>
                    <w:rPr>
                      <w:rFonts w:cs="Arial"/>
                    </w:rPr>
                    <w:t>2</w:t>
                  </w:r>
                </w:p>
              </w:tc>
            </w:tr>
            <w:tr w:rsidR="004A340A" w:rsidRPr="009D6EC8" w14:paraId="6E09C465" w14:textId="77777777">
              <w:trPr>
                <w:trHeight w:val="116"/>
              </w:trPr>
              <w:tc>
                <w:tcPr>
                  <w:tcW w:w="7735" w:type="dxa"/>
                </w:tcPr>
                <w:p w14:paraId="4C1E20A5" w14:textId="77777777" w:rsidR="004A340A" w:rsidRPr="00110E99" w:rsidRDefault="004A340A" w:rsidP="00091204">
                  <w:pPr>
                    <w:rPr>
                      <w:rFonts w:cs="Arial"/>
                      <w:i/>
                    </w:rPr>
                  </w:pPr>
                  <w:r w:rsidRPr="00110E99">
                    <w:rPr>
                      <w:rFonts w:cs="Arial"/>
                      <w:i/>
                    </w:rPr>
                    <w:t>3. Quantification of specific microorganisms</w:t>
                  </w:r>
                </w:p>
              </w:tc>
              <w:tc>
                <w:tcPr>
                  <w:tcW w:w="2335" w:type="dxa"/>
                </w:tcPr>
                <w:p w14:paraId="3AD73B46" w14:textId="77777777" w:rsidR="004A340A" w:rsidRPr="00110E99" w:rsidRDefault="004A340A" w:rsidP="004A340A">
                  <w:pPr>
                    <w:rPr>
                      <w:rFonts w:cs="Arial"/>
                      <w:i/>
                    </w:rPr>
                  </w:pPr>
                  <w:r w:rsidRPr="00110E99">
                    <w:rPr>
                      <w:rFonts w:cs="Arial"/>
                    </w:rPr>
                    <w:t>December 31, 202</w:t>
                  </w:r>
                  <w:r>
                    <w:rPr>
                      <w:rFonts w:cs="Arial"/>
                    </w:rPr>
                    <w:t>2</w:t>
                  </w:r>
                </w:p>
              </w:tc>
            </w:tr>
            <w:tr w:rsidR="004A340A" w:rsidRPr="009D6EC8" w14:paraId="73B20DBF" w14:textId="77777777">
              <w:trPr>
                <w:trHeight w:val="116"/>
              </w:trPr>
              <w:tc>
                <w:tcPr>
                  <w:tcW w:w="7735" w:type="dxa"/>
                </w:tcPr>
                <w:p w14:paraId="07C039FA" w14:textId="77777777" w:rsidR="004A340A" w:rsidRPr="00110E99" w:rsidRDefault="004A340A" w:rsidP="00091204">
                  <w:pPr>
                    <w:rPr>
                      <w:rFonts w:cs="Arial"/>
                      <w:i/>
                    </w:rPr>
                  </w:pPr>
                  <w:r w:rsidRPr="00110E99">
                    <w:rPr>
                      <w:rFonts w:cs="Arial"/>
                      <w:i/>
                    </w:rPr>
                    <w:t>4. Data Analysis</w:t>
                  </w:r>
                </w:p>
              </w:tc>
              <w:tc>
                <w:tcPr>
                  <w:tcW w:w="2335" w:type="dxa"/>
                </w:tcPr>
                <w:p w14:paraId="747CD2DB" w14:textId="77777777" w:rsidR="004A340A" w:rsidRPr="00110E99" w:rsidRDefault="004A340A" w:rsidP="00091204">
                  <w:pPr>
                    <w:rPr>
                      <w:rFonts w:cs="Arial"/>
                      <w:i/>
                    </w:rPr>
                  </w:pPr>
                  <w:r w:rsidRPr="00110E99">
                    <w:rPr>
                      <w:rFonts w:cs="Arial"/>
                    </w:rPr>
                    <w:t>April 30, 2023</w:t>
                  </w:r>
                </w:p>
              </w:tc>
            </w:tr>
          </w:tbl>
          <w:p w14:paraId="10C651B3" w14:textId="77777777" w:rsidR="004A340A" w:rsidRPr="00217C2A" w:rsidRDefault="004A340A" w:rsidP="004A340A">
            <w:pPr>
              <w:keepNext/>
              <w:ind w:right="464"/>
              <w:rPr>
                <w:sz w:val="18"/>
                <w:szCs w:val="18"/>
              </w:rPr>
            </w:pPr>
          </w:p>
        </w:tc>
        <w:tc>
          <w:tcPr>
            <w:tcW w:w="273" w:type="dxa"/>
          </w:tcPr>
          <w:p w14:paraId="2338F681" w14:textId="77777777" w:rsidR="002152D0" w:rsidRPr="00EB5831" w:rsidRDefault="002152D0" w:rsidP="0064538C">
            <w:pPr>
              <w:rPr>
                <w:rFonts w:cs="Arial"/>
              </w:rPr>
            </w:pPr>
          </w:p>
        </w:tc>
      </w:tr>
    </w:tbl>
    <w:p w14:paraId="769185C8" w14:textId="77777777" w:rsidR="005431D4" w:rsidRPr="00073C96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47C64D3B" w14:textId="77777777" w:rsidR="00D81C14" w:rsidRDefault="00D81C14" w:rsidP="00D81C14">
      <w:pPr>
        <w:widowControl w:val="0"/>
      </w:pPr>
      <w:proofErr w:type="gramStart"/>
      <w:r w:rsidRPr="005017AB">
        <w:rPr>
          <w:iCs/>
        </w:rPr>
        <w:t xml:space="preserve">The project </w:t>
      </w:r>
      <w:r>
        <w:rPr>
          <w:iCs/>
        </w:rPr>
        <w:t xml:space="preserve">team </w:t>
      </w:r>
      <w:r w:rsidRPr="005017AB">
        <w:rPr>
          <w:iCs/>
        </w:rPr>
        <w:t xml:space="preserve">will be led by </w:t>
      </w:r>
      <w:r>
        <w:rPr>
          <w:iCs/>
        </w:rPr>
        <w:t>Drs. Raymond Hozalski and Timothy LaPara (University of Minnesota</w:t>
      </w:r>
      <w:r w:rsidRPr="005017AB">
        <w:rPr>
          <w:iCs/>
        </w:rPr>
        <w:t>, Dep</w:t>
      </w:r>
      <w:r>
        <w:rPr>
          <w:iCs/>
        </w:rPr>
        <w:t>artment</w:t>
      </w:r>
      <w:r w:rsidRPr="005017AB">
        <w:rPr>
          <w:iCs/>
        </w:rPr>
        <w:t xml:space="preserve"> of Civil</w:t>
      </w:r>
      <w:r>
        <w:rPr>
          <w:iCs/>
        </w:rPr>
        <w:t>, Environmental, &amp; Geo-</w:t>
      </w:r>
      <w:r w:rsidRPr="005017AB">
        <w:rPr>
          <w:iCs/>
        </w:rPr>
        <w:t>Engineering)</w:t>
      </w:r>
      <w:r>
        <w:rPr>
          <w:iCs/>
        </w:rPr>
        <w:t xml:space="preserve"> wh</w:t>
      </w:r>
      <w:r>
        <w:t>o are experts in water treatment and microbiology</w:t>
      </w:r>
      <w:proofErr w:type="gramEnd"/>
      <w:r w:rsidRPr="005017AB">
        <w:rPr>
          <w:iCs/>
        </w:rPr>
        <w:t xml:space="preserve">. The team </w:t>
      </w:r>
      <w:r>
        <w:rPr>
          <w:iCs/>
        </w:rPr>
        <w:t xml:space="preserve">also </w:t>
      </w:r>
      <w:r w:rsidRPr="005017AB">
        <w:rPr>
          <w:iCs/>
        </w:rPr>
        <w:t xml:space="preserve">will </w:t>
      </w:r>
      <w:r>
        <w:rPr>
          <w:iCs/>
        </w:rPr>
        <w:t xml:space="preserve">include one </w:t>
      </w:r>
      <w:r w:rsidR="004B5E68">
        <w:rPr>
          <w:iCs/>
        </w:rPr>
        <w:t>post-doc</w:t>
      </w:r>
      <w:r w:rsidR="006E298C">
        <w:rPr>
          <w:iCs/>
        </w:rPr>
        <w:t>toral researcher</w:t>
      </w:r>
      <w:r>
        <w:rPr>
          <w:iCs/>
        </w:rPr>
        <w:t xml:space="preserve"> and several und</w:t>
      </w:r>
      <w:r w:rsidR="004A340A">
        <w:rPr>
          <w:iCs/>
        </w:rPr>
        <w:t>ergraduate student researchers, the City engineer, and the City Council and/or Mayor.</w:t>
      </w:r>
    </w:p>
    <w:p w14:paraId="1D8DA8C7" w14:textId="77777777" w:rsidR="00D81C14" w:rsidRPr="00E30687" w:rsidRDefault="00D81C14" w:rsidP="006E0EFD">
      <w:pPr>
        <w:rPr>
          <w:rFonts w:cs="Arial"/>
          <w:b/>
          <w:sz w:val="18"/>
          <w:szCs w:val="18"/>
        </w:rPr>
      </w:pPr>
    </w:p>
    <w:p w14:paraId="5E9093B0" w14:textId="77777777"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6B7EA605" w14:textId="77777777" w:rsidR="00D81C14" w:rsidRPr="004A340A" w:rsidRDefault="00D81C14" w:rsidP="00D81C14">
      <w:pPr>
        <w:widowControl w:val="0"/>
      </w:pPr>
      <w:r w:rsidRPr="00935220">
        <w:t xml:space="preserve">The long-term goal of the proposed research is to </w:t>
      </w:r>
      <w:r w:rsidR="004A340A">
        <w:t>identify the best and most cost-effective approaches to protect the</w:t>
      </w:r>
      <w:r>
        <w:t xml:space="preserve"> health of Minnesotans served by groundwater</w:t>
      </w:r>
      <w:r w:rsidRPr="00935220">
        <w:t xml:space="preserve"> </w:t>
      </w:r>
      <w:r>
        <w:t>resources</w:t>
      </w:r>
      <w:r w:rsidRPr="00935220">
        <w:t>.</w:t>
      </w:r>
      <w:r>
        <w:t xml:space="preserve">  </w:t>
      </w:r>
      <w:r w:rsidR="004A340A">
        <w:rPr>
          <w:rFonts w:cs="Arial"/>
        </w:rPr>
        <w:t xml:space="preserve">This project, specifically, will help resolve a newly-uncovered problem, the presence of </w:t>
      </w:r>
      <w:r w:rsidR="004A340A">
        <w:rPr>
          <w:i/>
        </w:rPr>
        <w:t xml:space="preserve">Cryptosporidium </w:t>
      </w:r>
      <w:r w:rsidR="004A340A">
        <w:t xml:space="preserve">and </w:t>
      </w:r>
      <w:r w:rsidR="004A340A">
        <w:rPr>
          <w:i/>
        </w:rPr>
        <w:t>Giardia</w:t>
      </w:r>
      <w:r w:rsidR="004A340A">
        <w:t xml:space="preserve"> in groundwater, that likely affects a substantial fraction of Minnesotans, particularly in rural areas where groundwater is commonly used and public water supplies are less likely to be disinfected</w:t>
      </w:r>
      <w:r w:rsidR="006E298C">
        <w:t xml:space="preserve"> or disinfected with chlorine</w:t>
      </w:r>
      <w:r w:rsidR="004A340A">
        <w:t>.</w:t>
      </w:r>
    </w:p>
    <w:p w14:paraId="74B3FAE9" w14:textId="77777777" w:rsidR="00C02DAD" w:rsidRPr="00E30687" w:rsidRDefault="00186FCC" w:rsidP="00186FCC">
      <w:pPr>
        <w:tabs>
          <w:tab w:val="left" w:pos="7185"/>
        </w:tabs>
        <w:rPr>
          <w:rFonts w:cs="Arial"/>
          <w:b/>
          <w:sz w:val="18"/>
          <w:szCs w:val="18"/>
        </w:rPr>
      </w:pPr>
      <w:r w:rsidRPr="00E30687">
        <w:rPr>
          <w:rFonts w:cs="Arial"/>
          <w:b/>
          <w:sz w:val="18"/>
          <w:szCs w:val="18"/>
        </w:rPr>
        <w:tab/>
      </w:r>
    </w:p>
    <w:p w14:paraId="24C7A740" w14:textId="77777777" w:rsidR="001C395A" w:rsidRDefault="001C395A">
      <w:pPr>
        <w:rPr>
          <w:sz w:val="20"/>
          <w:szCs w:val="20"/>
        </w:rPr>
      </w:pPr>
      <w:bookmarkStart w:id="0" w:name="_GoBack"/>
      <w:bookmarkEnd w:id="0"/>
    </w:p>
    <w:sectPr w:rsidR="001C395A" w:rsidSect="00E47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1E255" w14:textId="77777777" w:rsidR="00E631C5" w:rsidRDefault="00E631C5" w:rsidP="00533120">
      <w:r>
        <w:separator/>
      </w:r>
    </w:p>
  </w:endnote>
  <w:endnote w:type="continuationSeparator" w:id="0">
    <w:p w14:paraId="607224CF" w14:textId="77777777" w:rsidR="00E631C5" w:rsidRDefault="00E631C5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4A596" w14:textId="77777777" w:rsidR="001A0061" w:rsidRDefault="001A006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79F7E" w14:textId="77777777" w:rsidR="001A0061" w:rsidRDefault="00E631C5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C395A">
      <w:rPr>
        <w:noProof/>
      </w:rPr>
      <w:t>2</w:t>
    </w:r>
    <w:r>
      <w:rPr>
        <w:noProof/>
      </w:rPr>
      <w:fldChar w:fldCharType="end"/>
    </w:r>
  </w:p>
  <w:p w14:paraId="66FE929E" w14:textId="77777777" w:rsidR="001A0061" w:rsidRDefault="001A006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CA245" w14:textId="77777777" w:rsidR="001A0061" w:rsidRDefault="00E631C5" w:rsidP="00C72BD9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A0061">
      <w:rPr>
        <w:noProof/>
      </w:rPr>
      <w:t>1</w:t>
    </w:r>
    <w:r>
      <w:rPr>
        <w:noProof/>
      </w:rPr>
      <w:fldChar w:fldCharType="end"/>
    </w:r>
  </w:p>
  <w:p w14:paraId="77FA14DE" w14:textId="77777777" w:rsidR="001A0061" w:rsidRDefault="001A006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365DD" w14:textId="77777777" w:rsidR="00E631C5" w:rsidRDefault="00E631C5" w:rsidP="00533120">
      <w:r>
        <w:separator/>
      </w:r>
    </w:p>
  </w:footnote>
  <w:footnote w:type="continuationSeparator" w:id="0">
    <w:p w14:paraId="542E46B1" w14:textId="77777777" w:rsidR="00E631C5" w:rsidRDefault="00E631C5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CF5A5" w14:textId="77777777" w:rsidR="001A0061" w:rsidRDefault="001A006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1A0061" w14:paraId="4BEF3A9E" w14:textId="77777777">
      <w:tc>
        <w:tcPr>
          <w:tcW w:w="1278" w:type="dxa"/>
        </w:tcPr>
        <w:p w14:paraId="0F15C124" w14:textId="77777777" w:rsidR="001A0061" w:rsidRPr="00EB5831" w:rsidRDefault="001A0061" w:rsidP="00E47145">
          <w:pPr>
            <w:pStyle w:val="Header"/>
            <w:tabs>
              <w:tab w:val="clear" w:pos="4680"/>
              <w:tab w:val="clear" w:pos="9360"/>
            </w:tabs>
          </w:pPr>
          <w:r>
            <w:rPr>
              <w:noProof/>
            </w:rPr>
            <w:drawing>
              <wp:inline distT="0" distB="0" distL="0" distR="0" wp14:anchorId="1A753CF9" wp14:editId="1EB0DC13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509F36C1" w14:textId="77777777" w:rsidR="001A0061" w:rsidRPr="00A42E60" w:rsidRDefault="001A0061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07045831" w14:textId="77777777" w:rsidR="001A0061" w:rsidRPr="00EB5831" w:rsidRDefault="001A0061" w:rsidP="00EB5831">
          <w:pPr>
            <w:pStyle w:val="Header"/>
            <w:rPr>
              <w:b/>
            </w:rPr>
          </w:pPr>
          <w:r>
            <w:rPr>
              <w:b/>
            </w:rPr>
            <w:t>2020</w:t>
          </w:r>
          <w:r w:rsidRPr="00EB5831">
            <w:rPr>
              <w:b/>
            </w:rPr>
            <w:t xml:space="preserve"> Main Proposal</w:t>
          </w:r>
          <w:r>
            <w:rPr>
              <w:b/>
            </w:rPr>
            <w:t xml:space="preserve"> Template</w:t>
          </w:r>
        </w:p>
        <w:p w14:paraId="4CB80D9E" w14:textId="77777777" w:rsidR="001A0061" w:rsidRPr="00EB5831" w:rsidRDefault="001A0061" w:rsidP="00EB5831">
          <w:pPr>
            <w:pStyle w:val="Header"/>
          </w:pPr>
        </w:p>
      </w:tc>
    </w:tr>
  </w:tbl>
  <w:p w14:paraId="33A89F88" w14:textId="77777777" w:rsidR="001A0061" w:rsidRPr="00A42E60" w:rsidRDefault="001A0061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1A0061" w14:paraId="43C25ED1" w14:textId="77777777">
      <w:tc>
        <w:tcPr>
          <w:tcW w:w="1098" w:type="dxa"/>
        </w:tcPr>
        <w:p w14:paraId="22B34FF4" w14:textId="77777777" w:rsidR="001A0061" w:rsidRPr="00EB5831" w:rsidRDefault="001A0061" w:rsidP="00C660F0">
          <w:pPr>
            <w:pStyle w:val="Header"/>
          </w:pPr>
          <w:r>
            <w:rPr>
              <w:noProof/>
            </w:rPr>
            <w:drawing>
              <wp:inline distT="0" distB="0" distL="0" distR="0" wp14:anchorId="01F7808D" wp14:editId="0F0B44D1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540F02CE" w14:textId="77777777" w:rsidR="001A0061" w:rsidRPr="00A42E60" w:rsidRDefault="001A0061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5EEB7765" w14:textId="77777777" w:rsidR="001A0061" w:rsidRPr="00EB5831" w:rsidRDefault="001A0061" w:rsidP="00806460">
          <w:pPr>
            <w:pStyle w:val="Header"/>
            <w:rPr>
              <w:b/>
            </w:rPr>
          </w:pPr>
          <w:r w:rsidRPr="00EB5831">
            <w:rPr>
              <w:b/>
            </w:rPr>
            <w:t>2014 Main Proposal</w:t>
          </w:r>
        </w:p>
        <w:p w14:paraId="0A504060" w14:textId="77777777" w:rsidR="001A0061" w:rsidRPr="00EB5831" w:rsidRDefault="001A0061" w:rsidP="00806460">
          <w:pPr>
            <w:pStyle w:val="Header"/>
          </w:pPr>
          <w:r w:rsidRPr="00EB5831">
            <w:rPr>
              <w:b/>
            </w:rPr>
            <w:t xml:space="preserve">Project Title: </w:t>
          </w:r>
          <w:r w:rsidRPr="00EB5831">
            <w:rPr>
              <w:i/>
            </w:rPr>
            <w:t>[Insert “Project Title” here in document header]</w:t>
          </w:r>
        </w:p>
      </w:tc>
    </w:tr>
  </w:tbl>
  <w:p w14:paraId="12BC5DC2" w14:textId="77777777" w:rsidR="001A0061" w:rsidRPr="00F96203" w:rsidRDefault="001A0061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07A94"/>
    <w:rsid w:val="000103E4"/>
    <w:rsid w:val="00020FA1"/>
    <w:rsid w:val="00026995"/>
    <w:rsid w:val="00061EF5"/>
    <w:rsid w:val="00062497"/>
    <w:rsid w:val="00065366"/>
    <w:rsid w:val="00073C96"/>
    <w:rsid w:val="00091204"/>
    <w:rsid w:val="000A658E"/>
    <w:rsid w:val="000B34BA"/>
    <w:rsid w:val="000C3EF3"/>
    <w:rsid w:val="000D7F31"/>
    <w:rsid w:val="00100A34"/>
    <w:rsid w:val="00107495"/>
    <w:rsid w:val="00110E99"/>
    <w:rsid w:val="001225BC"/>
    <w:rsid w:val="00165716"/>
    <w:rsid w:val="0017404C"/>
    <w:rsid w:val="0018005E"/>
    <w:rsid w:val="00186FCC"/>
    <w:rsid w:val="001A0061"/>
    <w:rsid w:val="001B0368"/>
    <w:rsid w:val="001C25DE"/>
    <w:rsid w:val="001C395A"/>
    <w:rsid w:val="001E42AC"/>
    <w:rsid w:val="002152D0"/>
    <w:rsid w:val="002159DD"/>
    <w:rsid w:val="00217A44"/>
    <w:rsid w:val="00217C2A"/>
    <w:rsid w:val="00224B41"/>
    <w:rsid w:val="00290E4E"/>
    <w:rsid w:val="002943D4"/>
    <w:rsid w:val="0029726A"/>
    <w:rsid w:val="002B469A"/>
    <w:rsid w:val="003205A7"/>
    <w:rsid w:val="003239FE"/>
    <w:rsid w:val="00345BB0"/>
    <w:rsid w:val="00347E7A"/>
    <w:rsid w:val="00351EA6"/>
    <w:rsid w:val="00354888"/>
    <w:rsid w:val="003578A0"/>
    <w:rsid w:val="0037310D"/>
    <w:rsid w:val="00375F15"/>
    <w:rsid w:val="003827AA"/>
    <w:rsid w:val="00382EFA"/>
    <w:rsid w:val="0039481E"/>
    <w:rsid w:val="003C0AF1"/>
    <w:rsid w:val="003F32CA"/>
    <w:rsid w:val="00404B9C"/>
    <w:rsid w:val="00407D77"/>
    <w:rsid w:val="00424D35"/>
    <w:rsid w:val="00434379"/>
    <w:rsid w:val="004357AE"/>
    <w:rsid w:val="00447E03"/>
    <w:rsid w:val="004530F7"/>
    <w:rsid w:val="00454495"/>
    <w:rsid w:val="00487D08"/>
    <w:rsid w:val="0049103C"/>
    <w:rsid w:val="004A340A"/>
    <w:rsid w:val="004A43B9"/>
    <w:rsid w:val="004A4BE4"/>
    <w:rsid w:val="004B5E68"/>
    <w:rsid w:val="004E6113"/>
    <w:rsid w:val="00533120"/>
    <w:rsid w:val="005431D4"/>
    <w:rsid w:val="00550B29"/>
    <w:rsid w:val="00556A0B"/>
    <w:rsid w:val="005641C1"/>
    <w:rsid w:val="005648A9"/>
    <w:rsid w:val="005A1D00"/>
    <w:rsid w:val="005A4FB1"/>
    <w:rsid w:val="005F0DBA"/>
    <w:rsid w:val="005F1006"/>
    <w:rsid w:val="005F7237"/>
    <w:rsid w:val="00602068"/>
    <w:rsid w:val="00614DF2"/>
    <w:rsid w:val="00640A9A"/>
    <w:rsid w:val="0064538C"/>
    <w:rsid w:val="006562F0"/>
    <w:rsid w:val="00686B53"/>
    <w:rsid w:val="006C6551"/>
    <w:rsid w:val="006E0EFD"/>
    <w:rsid w:val="006E298C"/>
    <w:rsid w:val="006F7F24"/>
    <w:rsid w:val="00721661"/>
    <w:rsid w:val="00731A65"/>
    <w:rsid w:val="007819B9"/>
    <w:rsid w:val="00781A6B"/>
    <w:rsid w:val="007936A9"/>
    <w:rsid w:val="007B284F"/>
    <w:rsid w:val="007B3535"/>
    <w:rsid w:val="007F27FA"/>
    <w:rsid w:val="00806460"/>
    <w:rsid w:val="008076FB"/>
    <w:rsid w:val="0083157A"/>
    <w:rsid w:val="00833891"/>
    <w:rsid w:val="00853F30"/>
    <w:rsid w:val="0087092C"/>
    <w:rsid w:val="008949EE"/>
    <w:rsid w:val="008A088E"/>
    <w:rsid w:val="008A4498"/>
    <w:rsid w:val="008A5FD9"/>
    <w:rsid w:val="008C3E45"/>
    <w:rsid w:val="008D2242"/>
    <w:rsid w:val="00910DB8"/>
    <w:rsid w:val="00912C65"/>
    <w:rsid w:val="009541C4"/>
    <w:rsid w:val="00967087"/>
    <w:rsid w:val="009A49DE"/>
    <w:rsid w:val="009A75A0"/>
    <w:rsid w:val="009B6749"/>
    <w:rsid w:val="009C4875"/>
    <w:rsid w:val="009D0E57"/>
    <w:rsid w:val="009D14B4"/>
    <w:rsid w:val="009D1B78"/>
    <w:rsid w:val="009D6EC8"/>
    <w:rsid w:val="009F38EE"/>
    <w:rsid w:val="00A03E0A"/>
    <w:rsid w:val="00A11692"/>
    <w:rsid w:val="00A13F26"/>
    <w:rsid w:val="00A42E60"/>
    <w:rsid w:val="00A45A41"/>
    <w:rsid w:val="00A7257F"/>
    <w:rsid w:val="00A73B75"/>
    <w:rsid w:val="00A82EAB"/>
    <w:rsid w:val="00AB6CFF"/>
    <w:rsid w:val="00AC2C07"/>
    <w:rsid w:val="00AC2CDE"/>
    <w:rsid w:val="00AC6427"/>
    <w:rsid w:val="00AD3337"/>
    <w:rsid w:val="00B243D1"/>
    <w:rsid w:val="00B728BF"/>
    <w:rsid w:val="00B8369A"/>
    <w:rsid w:val="00B86A22"/>
    <w:rsid w:val="00BC28A6"/>
    <w:rsid w:val="00BC48BE"/>
    <w:rsid w:val="00BF103B"/>
    <w:rsid w:val="00C02DAD"/>
    <w:rsid w:val="00C65A8D"/>
    <w:rsid w:val="00C660F0"/>
    <w:rsid w:val="00C72BD9"/>
    <w:rsid w:val="00C82CD3"/>
    <w:rsid w:val="00C85E92"/>
    <w:rsid w:val="00C952E4"/>
    <w:rsid w:val="00CA08FE"/>
    <w:rsid w:val="00CA3549"/>
    <w:rsid w:val="00CA399D"/>
    <w:rsid w:val="00CB652D"/>
    <w:rsid w:val="00CE20AC"/>
    <w:rsid w:val="00D02E23"/>
    <w:rsid w:val="00D121DD"/>
    <w:rsid w:val="00D25619"/>
    <w:rsid w:val="00D32CFB"/>
    <w:rsid w:val="00D46BA7"/>
    <w:rsid w:val="00D51B9D"/>
    <w:rsid w:val="00D81C14"/>
    <w:rsid w:val="00DD31DF"/>
    <w:rsid w:val="00E00914"/>
    <w:rsid w:val="00E30687"/>
    <w:rsid w:val="00E47145"/>
    <w:rsid w:val="00E5279E"/>
    <w:rsid w:val="00E619C4"/>
    <w:rsid w:val="00E631C5"/>
    <w:rsid w:val="00E76D57"/>
    <w:rsid w:val="00EB5831"/>
    <w:rsid w:val="00ED01C6"/>
    <w:rsid w:val="00EF2B86"/>
    <w:rsid w:val="00F168A8"/>
    <w:rsid w:val="00F42507"/>
    <w:rsid w:val="00F70DE4"/>
    <w:rsid w:val="00F9232B"/>
    <w:rsid w:val="00F92864"/>
    <w:rsid w:val="00F96203"/>
    <w:rsid w:val="00F97C94"/>
    <w:rsid w:val="00FF1689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7F9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152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2D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2D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1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1C1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152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2D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2D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1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1C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1090</Words>
  <Characters>6216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Timothy LaPara</cp:lastModifiedBy>
  <cp:revision>4</cp:revision>
  <cp:lastPrinted>2018-11-29T16:36:00Z</cp:lastPrinted>
  <dcterms:created xsi:type="dcterms:W3CDTF">2019-04-09T19:45:00Z</dcterms:created>
  <dcterms:modified xsi:type="dcterms:W3CDTF">2019-04-15T18:44:00Z</dcterms:modified>
</cp:coreProperties>
</file>