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Pr="00D61C8E" w:rsidRDefault="005A4FB1" w:rsidP="005A4FB1">
      <w:pPr>
        <w:jc w:val="center"/>
        <w:rPr>
          <w:rFonts w:asciiTheme="minorHAnsi" w:hAnsiTheme="minorHAnsi" w:cs="Arial"/>
          <w:i/>
        </w:rPr>
      </w:pPr>
    </w:p>
    <w:p w:rsidR="006E0EFD" w:rsidRPr="00D61C8E" w:rsidRDefault="006E0EFD" w:rsidP="005A4FB1">
      <w:pPr>
        <w:rPr>
          <w:rFonts w:asciiTheme="minorHAnsi" w:hAnsiTheme="minorHAnsi" w:cs="Arial"/>
          <w:i/>
        </w:rPr>
      </w:pPr>
      <w:r w:rsidRPr="00D61C8E">
        <w:rPr>
          <w:rFonts w:asciiTheme="minorHAnsi" w:hAnsiTheme="minorHAnsi" w:cs="Arial"/>
          <w:b/>
        </w:rPr>
        <w:t>PROJECT TITLE:</w:t>
      </w:r>
      <w:r w:rsidR="0044590B">
        <w:rPr>
          <w:rFonts w:asciiTheme="minorHAnsi" w:hAnsiTheme="minorHAnsi" w:cs="Arial"/>
          <w:b/>
        </w:rPr>
        <w:t xml:space="preserve"> </w:t>
      </w:r>
      <w:bookmarkStart w:id="0" w:name="_GoBack"/>
      <w:r w:rsidR="00C47AEC" w:rsidRPr="0061212C">
        <w:rPr>
          <w:rFonts w:asciiTheme="minorHAnsi" w:hAnsiTheme="minorHAnsi" w:cs="Arial"/>
        </w:rPr>
        <w:t xml:space="preserve">Engaging private </w:t>
      </w:r>
      <w:r w:rsidR="00252804" w:rsidRPr="0061212C">
        <w:rPr>
          <w:rFonts w:asciiTheme="minorHAnsi" w:hAnsiTheme="minorHAnsi" w:cs="Arial"/>
        </w:rPr>
        <w:t>well owners</w:t>
      </w:r>
      <w:r w:rsidR="00C47AEC" w:rsidRPr="0061212C">
        <w:rPr>
          <w:rFonts w:asciiTheme="minorHAnsi" w:hAnsiTheme="minorHAnsi" w:cs="Arial"/>
        </w:rPr>
        <w:t xml:space="preserve"> in</w:t>
      </w:r>
      <w:r w:rsidR="0044590B" w:rsidRPr="0061212C">
        <w:rPr>
          <w:rFonts w:asciiTheme="minorHAnsi" w:hAnsiTheme="minorHAnsi" w:cs="Arial"/>
        </w:rPr>
        <w:t xml:space="preserve"> groundwater protection</w:t>
      </w:r>
      <w:bookmarkEnd w:id="0"/>
    </w:p>
    <w:p w:rsidR="006E0EFD" w:rsidRPr="00D61C8E" w:rsidRDefault="006E0EFD" w:rsidP="006E0EFD">
      <w:pPr>
        <w:rPr>
          <w:rFonts w:asciiTheme="minorHAnsi" w:hAnsiTheme="minorHAnsi" w:cs="Arial"/>
        </w:rPr>
      </w:pPr>
    </w:p>
    <w:p w:rsidR="006E0EFD" w:rsidRPr="00D61C8E" w:rsidRDefault="006E0EFD" w:rsidP="006E0EFD">
      <w:pPr>
        <w:rPr>
          <w:rFonts w:asciiTheme="minorHAnsi" w:hAnsiTheme="minorHAnsi" w:cs="Arial"/>
        </w:rPr>
      </w:pPr>
      <w:r w:rsidRPr="00D61C8E">
        <w:rPr>
          <w:rFonts w:asciiTheme="minorHAnsi" w:hAnsiTheme="minorHAnsi" w:cs="Arial"/>
          <w:b/>
        </w:rPr>
        <w:t>I. PROJECT STATEMENT</w:t>
      </w:r>
    </w:p>
    <w:p w:rsidR="008D2242" w:rsidRPr="00D61C8E" w:rsidRDefault="008D2242" w:rsidP="006E0EFD">
      <w:pPr>
        <w:rPr>
          <w:rFonts w:asciiTheme="minorHAnsi" w:hAnsiTheme="minorHAnsi" w:cs="Arial"/>
        </w:rPr>
      </w:pPr>
    </w:p>
    <w:p w:rsidR="00040A75" w:rsidRPr="00D61C8E" w:rsidRDefault="00E36CCF" w:rsidP="00040A75">
      <w:pPr>
        <w:rPr>
          <w:rFonts w:asciiTheme="minorHAnsi" w:hAnsiTheme="minorHAnsi" w:cs="Arial"/>
        </w:rPr>
      </w:pPr>
      <w:r>
        <w:rPr>
          <w:rFonts w:asciiTheme="minorHAnsi" w:hAnsiTheme="minorHAnsi" w:cs="Arial"/>
        </w:rPr>
        <w:t xml:space="preserve">Three-quarters of Minnesotans depend on groundwater for drinking water. </w:t>
      </w:r>
      <w:r w:rsidR="00040A75" w:rsidRPr="00D61C8E">
        <w:rPr>
          <w:rFonts w:asciiTheme="minorHAnsi" w:hAnsiTheme="minorHAnsi" w:cs="Arial"/>
        </w:rPr>
        <w:t>Protecting groundwater requires not only science-</w:t>
      </w:r>
      <w:r w:rsidR="00040A75">
        <w:rPr>
          <w:rFonts w:asciiTheme="minorHAnsi" w:hAnsiTheme="minorHAnsi" w:cs="Arial"/>
        </w:rPr>
        <w:t>driven</w:t>
      </w:r>
      <w:r w:rsidR="00040A75" w:rsidRPr="00D61C8E">
        <w:rPr>
          <w:rFonts w:asciiTheme="minorHAnsi" w:hAnsiTheme="minorHAnsi" w:cs="Arial"/>
        </w:rPr>
        <w:t xml:space="preserve"> planning at the watershed scale, but also the engagement and action of local community members. </w:t>
      </w:r>
      <w:r w:rsidR="005655AA">
        <w:rPr>
          <w:rFonts w:asciiTheme="minorHAnsi" w:hAnsiTheme="minorHAnsi" w:cs="Arial"/>
        </w:rPr>
        <w:t>P</w:t>
      </w:r>
      <w:r w:rsidR="00040A75" w:rsidRPr="00D61C8E">
        <w:rPr>
          <w:rFonts w:asciiTheme="minorHAnsi" w:hAnsiTheme="minorHAnsi" w:cs="Arial"/>
        </w:rPr>
        <w:t>rivate well owners make up 21% of the state’s population and are key stakeholder</w:t>
      </w:r>
      <w:r w:rsidR="005655AA">
        <w:rPr>
          <w:rFonts w:asciiTheme="minorHAnsi" w:hAnsiTheme="minorHAnsi" w:cs="Arial"/>
        </w:rPr>
        <w:t>s</w:t>
      </w:r>
      <w:r w:rsidR="00040A75" w:rsidRPr="00D61C8E">
        <w:rPr>
          <w:rFonts w:asciiTheme="minorHAnsi" w:hAnsiTheme="minorHAnsi" w:cs="Arial"/>
        </w:rPr>
        <w:t xml:space="preserve"> in addressing groundwater problems, </w:t>
      </w:r>
      <w:r w:rsidR="00A075D5">
        <w:rPr>
          <w:rFonts w:asciiTheme="minorHAnsi" w:hAnsiTheme="minorHAnsi" w:cs="Arial"/>
        </w:rPr>
        <w:t xml:space="preserve">yet </w:t>
      </w:r>
      <w:r w:rsidR="00040A75" w:rsidRPr="00D61C8E">
        <w:rPr>
          <w:rFonts w:asciiTheme="minorHAnsi" w:hAnsiTheme="minorHAnsi" w:cs="Arial"/>
        </w:rPr>
        <w:t xml:space="preserve">their level of engagement in and </w:t>
      </w:r>
      <w:r w:rsidR="00A075D5">
        <w:rPr>
          <w:rFonts w:asciiTheme="minorHAnsi" w:hAnsiTheme="minorHAnsi" w:cs="Arial"/>
        </w:rPr>
        <w:t xml:space="preserve">their </w:t>
      </w:r>
      <w:r w:rsidR="00040A75" w:rsidRPr="00D61C8E">
        <w:rPr>
          <w:rFonts w:asciiTheme="minorHAnsi" w:hAnsiTheme="minorHAnsi" w:cs="Arial"/>
        </w:rPr>
        <w:t xml:space="preserve">perceptions about groundwater management are not well </w:t>
      </w:r>
      <w:r w:rsidR="00040A75">
        <w:rPr>
          <w:rFonts w:asciiTheme="minorHAnsi" w:hAnsiTheme="minorHAnsi" w:cs="Arial"/>
        </w:rPr>
        <w:t>understood</w:t>
      </w:r>
      <w:r w:rsidR="00040A75" w:rsidRPr="00D61C8E">
        <w:rPr>
          <w:rFonts w:asciiTheme="minorHAnsi" w:hAnsiTheme="minorHAnsi" w:cs="Arial"/>
        </w:rPr>
        <w:t xml:space="preserve">. </w:t>
      </w:r>
      <w:r w:rsidR="00A075D5">
        <w:rPr>
          <w:rFonts w:asciiTheme="minorHAnsi" w:hAnsiTheme="minorHAnsi" w:cs="Arial"/>
        </w:rPr>
        <w:t xml:space="preserve">In particular, </w:t>
      </w:r>
      <w:r w:rsidR="00040A75" w:rsidRPr="00D61C8E">
        <w:rPr>
          <w:rFonts w:asciiTheme="minorHAnsi" w:hAnsiTheme="minorHAnsi" w:cs="Arial"/>
        </w:rPr>
        <w:t xml:space="preserve">we have limited understanding of </w:t>
      </w:r>
      <w:r w:rsidR="00040A75">
        <w:rPr>
          <w:rFonts w:asciiTheme="minorHAnsi" w:hAnsiTheme="minorHAnsi" w:cs="Arial"/>
        </w:rPr>
        <w:t>their beliefs, attitudes, and actions related to groundwater protection</w:t>
      </w:r>
      <w:r w:rsidR="00A075D5">
        <w:rPr>
          <w:rFonts w:asciiTheme="minorHAnsi" w:hAnsiTheme="minorHAnsi" w:cs="Arial"/>
        </w:rPr>
        <w:t>, despite their being primary implementers of groundwater initiatives</w:t>
      </w:r>
      <w:r w:rsidR="00040A75">
        <w:rPr>
          <w:rFonts w:asciiTheme="minorHAnsi" w:hAnsiTheme="minorHAnsi" w:cs="Arial"/>
        </w:rPr>
        <w:t xml:space="preserve">. </w:t>
      </w:r>
      <w:r w:rsidR="00040A75" w:rsidRPr="00D61C8E">
        <w:rPr>
          <w:rFonts w:asciiTheme="minorHAnsi" w:hAnsiTheme="minorHAnsi" w:cs="Arial"/>
        </w:rPr>
        <w:t xml:space="preserve">In statewide studies </w:t>
      </w:r>
      <w:r w:rsidR="005655AA">
        <w:rPr>
          <w:rFonts w:asciiTheme="minorHAnsi" w:hAnsiTheme="minorHAnsi" w:cs="Arial"/>
        </w:rPr>
        <w:t xml:space="preserve">previously </w:t>
      </w:r>
      <w:r w:rsidR="00040A75" w:rsidRPr="00D61C8E">
        <w:rPr>
          <w:rFonts w:asciiTheme="minorHAnsi" w:hAnsiTheme="minorHAnsi" w:cs="Arial"/>
        </w:rPr>
        <w:t>conducted by this study’s PIs, Soil and Water Conservation District (SWCD) and Local Government Unit staff identified community engagement as a critical need in addressing groundwater quality and quantity issues. Further, th</w:t>
      </w:r>
      <w:r w:rsidR="00A075D5">
        <w:rPr>
          <w:rFonts w:asciiTheme="minorHAnsi" w:hAnsiTheme="minorHAnsi" w:cs="Arial"/>
        </w:rPr>
        <w:t>at</w:t>
      </w:r>
      <w:r w:rsidR="00040A75" w:rsidRPr="00D61C8E">
        <w:rPr>
          <w:rFonts w:asciiTheme="minorHAnsi" w:hAnsiTheme="minorHAnsi" w:cs="Arial"/>
        </w:rPr>
        <w:t xml:space="preserve"> work also suggests that lack of meaningful feedback about groundwater protection is a severe constraint to engaging diverse stakeholders in groundwater management. The overall goal of this project is to assess community capacity for groundwater protection. Specific objectives are to:</w:t>
      </w:r>
    </w:p>
    <w:p w:rsidR="00040A75" w:rsidRPr="00D61C8E" w:rsidRDefault="00040A75" w:rsidP="00040A75">
      <w:pPr>
        <w:rPr>
          <w:rFonts w:asciiTheme="minorHAnsi" w:hAnsiTheme="minorHAnsi" w:cs="Arial"/>
        </w:rPr>
      </w:pPr>
      <w:r w:rsidRPr="00D61C8E">
        <w:rPr>
          <w:rFonts w:asciiTheme="minorHAnsi" w:hAnsiTheme="minorHAnsi" w:cs="Arial"/>
        </w:rPr>
        <w:t>1) Identify constraints to and opportunities for effective civic engagement in groundwater management</w:t>
      </w:r>
    </w:p>
    <w:p w:rsidR="00040A75" w:rsidRPr="00D61C8E" w:rsidRDefault="00040A75" w:rsidP="00040A75">
      <w:pPr>
        <w:rPr>
          <w:rFonts w:asciiTheme="minorHAnsi" w:hAnsiTheme="minorHAnsi" w:cs="Arial"/>
        </w:rPr>
      </w:pPr>
      <w:r w:rsidRPr="00D61C8E">
        <w:rPr>
          <w:rFonts w:asciiTheme="minorHAnsi" w:hAnsiTheme="minorHAnsi" w:cs="Arial"/>
        </w:rPr>
        <w:t>2) Develop and evaluate benchmarking as a tailored feedback tool to engage local communities in groundwater protection</w:t>
      </w:r>
    </w:p>
    <w:p w:rsidR="00040A75" w:rsidRDefault="00040A75" w:rsidP="00926B2F">
      <w:pPr>
        <w:rPr>
          <w:rFonts w:asciiTheme="minorHAnsi" w:hAnsiTheme="minorHAnsi" w:cs="Arial"/>
        </w:rPr>
      </w:pPr>
    </w:p>
    <w:p w:rsidR="009D0377" w:rsidRPr="00D61C8E" w:rsidRDefault="009D0377" w:rsidP="009D0377">
      <w:pPr>
        <w:rPr>
          <w:rFonts w:asciiTheme="minorHAnsi" w:hAnsiTheme="minorHAnsi" w:cs="Arial"/>
        </w:rPr>
      </w:pPr>
      <w:r w:rsidRPr="00D61C8E">
        <w:rPr>
          <w:rFonts w:asciiTheme="minorHAnsi" w:hAnsiTheme="minorHAnsi" w:cs="Arial"/>
        </w:rPr>
        <w:t xml:space="preserve">To meet these objectives, we </w:t>
      </w:r>
      <w:r w:rsidR="00040A75">
        <w:rPr>
          <w:rFonts w:asciiTheme="minorHAnsi" w:hAnsiTheme="minorHAnsi" w:cs="Arial"/>
        </w:rPr>
        <w:t xml:space="preserve">will apply a mixed-methods approach that includes </w:t>
      </w:r>
      <w:r w:rsidR="00430C20" w:rsidRPr="00D61C8E">
        <w:rPr>
          <w:rFonts w:asciiTheme="minorHAnsi" w:hAnsiTheme="minorHAnsi" w:cs="Arial"/>
        </w:rPr>
        <w:t xml:space="preserve">three activities. In activity 1, we will collect quantitative social data </w:t>
      </w:r>
      <w:r w:rsidRPr="00D61C8E">
        <w:rPr>
          <w:rFonts w:asciiTheme="minorHAnsi" w:hAnsiTheme="minorHAnsi" w:cs="Arial"/>
        </w:rPr>
        <w:t xml:space="preserve">using </w:t>
      </w:r>
      <w:r w:rsidR="00430C20" w:rsidRPr="00D61C8E">
        <w:rPr>
          <w:rFonts w:asciiTheme="minorHAnsi" w:hAnsiTheme="minorHAnsi" w:cs="Arial"/>
        </w:rPr>
        <w:t xml:space="preserve">a mail survey of private well owners. In the second activity, we will conduct focus groups with </w:t>
      </w:r>
      <w:r w:rsidR="009E1B6B">
        <w:rPr>
          <w:rFonts w:asciiTheme="minorHAnsi" w:hAnsiTheme="minorHAnsi" w:cs="Arial"/>
        </w:rPr>
        <w:t>private well owners in various parts of the state</w:t>
      </w:r>
      <w:r w:rsidR="00430C20" w:rsidRPr="00D61C8E">
        <w:rPr>
          <w:rFonts w:asciiTheme="minorHAnsi" w:hAnsiTheme="minorHAnsi" w:cs="Arial"/>
        </w:rPr>
        <w:t>. In the third activity, we will</w:t>
      </w:r>
      <w:r w:rsidRPr="00D61C8E">
        <w:rPr>
          <w:rFonts w:asciiTheme="minorHAnsi" w:hAnsiTheme="minorHAnsi" w:cs="Arial"/>
        </w:rPr>
        <w:t xml:space="preserve"> develop and evaluate benchmarking as an engagement tool for groundwater management. This project will provide multiple benefits to stakeholders and resource managers throughout Minnesota. This study fills a much needed gap in our understanding of community capacity for groundwater protection. Study findings will provide baseline information to help develop community engagement initiatives that speak to the values, needs, and concerns of local communities</w:t>
      </w:r>
      <w:r w:rsidR="00D61C8E" w:rsidRPr="00D61C8E">
        <w:rPr>
          <w:rFonts w:asciiTheme="minorHAnsi" w:hAnsiTheme="minorHAnsi" w:cs="Arial"/>
        </w:rPr>
        <w:t xml:space="preserve">. </w:t>
      </w:r>
      <w:r w:rsidRPr="00D61C8E">
        <w:rPr>
          <w:rFonts w:asciiTheme="minorHAnsi" w:hAnsiTheme="minorHAnsi" w:cs="Arial"/>
        </w:rPr>
        <w:t xml:space="preserve">Social data collected from this study can be used to develop community engagement strategies that are tailored to individual communities.  </w:t>
      </w:r>
    </w:p>
    <w:p w:rsidR="00926B2F" w:rsidRPr="00D61C8E" w:rsidRDefault="00926B2F" w:rsidP="006E0EFD">
      <w:pPr>
        <w:rPr>
          <w:rFonts w:asciiTheme="minorHAnsi" w:hAnsiTheme="minorHAnsi" w:cs="Arial"/>
        </w:rPr>
      </w:pPr>
    </w:p>
    <w:p w:rsidR="006E0EFD" w:rsidRPr="00D61C8E" w:rsidRDefault="006E0EFD" w:rsidP="006E0EFD">
      <w:pPr>
        <w:rPr>
          <w:rFonts w:asciiTheme="minorHAnsi" w:hAnsiTheme="minorHAnsi" w:cs="Arial"/>
        </w:rPr>
      </w:pPr>
      <w:r w:rsidRPr="00D61C8E">
        <w:rPr>
          <w:rFonts w:asciiTheme="minorHAnsi" w:hAnsiTheme="minorHAnsi" w:cs="Arial"/>
          <w:b/>
        </w:rPr>
        <w:t xml:space="preserve">II. PROJECT </w:t>
      </w:r>
      <w:r w:rsidR="00A13F26" w:rsidRPr="00D61C8E">
        <w:rPr>
          <w:rFonts w:asciiTheme="minorHAnsi" w:hAnsiTheme="minorHAnsi" w:cs="Arial"/>
          <w:b/>
        </w:rPr>
        <w:t>ACTIVIT</w:t>
      </w:r>
      <w:r w:rsidR="00533120" w:rsidRPr="00D61C8E">
        <w:rPr>
          <w:rFonts w:asciiTheme="minorHAnsi" w:hAnsiTheme="minorHAnsi" w:cs="Arial"/>
          <w:b/>
        </w:rPr>
        <w:t>I</w:t>
      </w:r>
      <w:r w:rsidR="00A13F26" w:rsidRPr="00D61C8E">
        <w:rPr>
          <w:rFonts w:asciiTheme="minorHAnsi" w:hAnsiTheme="minorHAnsi" w:cs="Arial"/>
          <w:b/>
        </w:rPr>
        <w:t>ES</w:t>
      </w:r>
      <w:r w:rsidR="00614DF2" w:rsidRPr="00D61C8E">
        <w:rPr>
          <w:rFonts w:asciiTheme="minorHAnsi" w:hAnsiTheme="minorHAnsi" w:cs="Arial"/>
          <w:b/>
        </w:rPr>
        <w:t xml:space="preserve"> AND OUTCOMES</w:t>
      </w:r>
    </w:p>
    <w:p w:rsidR="006E0EFD" w:rsidRPr="00D61C8E" w:rsidRDefault="006E0EFD" w:rsidP="006E0EFD">
      <w:pPr>
        <w:rPr>
          <w:rFonts w:asciiTheme="minorHAnsi" w:hAnsiTheme="minorHAnsi" w:cs="Arial"/>
          <w:i/>
        </w:rPr>
      </w:pP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6"/>
      </w:tblGrid>
      <w:tr w:rsidR="00546728" w:rsidRPr="00D61C8E" w:rsidTr="00546728">
        <w:tc>
          <w:tcPr>
            <w:tcW w:w="10476" w:type="dxa"/>
          </w:tcPr>
          <w:p w:rsidR="00546728" w:rsidRPr="00D61C8E" w:rsidRDefault="00546728" w:rsidP="00217C2A">
            <w:pPr>
              <w:widowControl w:val="0"/>
              <w:rPr>
                <w:rFonts w:asciiTheme="minorHAnsi" w:hAnsiTheme="minorHAnsi" w:cs="Arial"/>
                <w:b/>
              </w:rPr>
            </w:pPr>
            <w:r w:rsidRPr="00D61C8E">
              <w:rPr>
                <w:rFonts w:asciiTheme="minorHAnsi" w:hAnsiTheme="minorHAnsi" w:cs="Arial"/>
                <w:b/>
              </w:rPr>
              <w:t>Activity 1 Title: Mail survey of private well owners to identify constraints to and opportunities for their engagement in groundwater management</w:t>
            </w:r>
          </w:p>
          <w:p w:rsidR="00546728" w:rsidRPr="00D61C8E" w:rsidRDefault="00546728" w:rsidP="00430C20">
            <w:pPr>
              <w:rPr>
                <w:rFonts w:asciiTheme="minorHAnsi" w:hAnsiTheme="minorHAnsi"/>
                <w:color w:val="000000"/>
              </w:rPr>
            </w:pPr>
            <w:r w:rsidRPr="00D61C8E">
              <w:rPr>
                <w:rFonts w:asciiTheme="minorHAnsi" w:hAnsiTheme="minorHAnsi" w:cs="Arial"/>
                <w:b/>
              </w:rPr>
              <w:t>Description:</w:t>
            </w:r>
            <w:r w:rsidRPr="00D61C8E">
              <w:rPr>
                <w:rFonts w:asciiTheme="minorHAnsi" w:hAnsiTheme="minorHAnsi" w:cs="Arial"/>
                <w:i/>
              </w:rPr>
              <w:t xml:space="preserve"> </w:t>
            </w:r>
            <w:r w:rsidRPr="00D61C8E">
              <w:rPr>
                <w:rFonts w:asciiTheme="minorHAnsi" w:hAnsiTheme="minorHAnsi"/>
                <w:color w:val="000000"/>
              </w:rPr>
              <w:t xml:space="preserve">We will develop and administer a mail survey of </w:t>
            </w:r>
            <w:r w:rsidR="00E60C7E">
              <w:rPr>
                <w:rFonts w:asciiTheme="minorHAnsi" w:hAnsiTheme="minorHAnsi"/>
                <w:color w:val="000000"/>
              </w:rPr>
              <w:t>4</w:t>
            </w:r>
            <w:r w:rsidRPr="00D61C8E">
              <w:rPr>
                <w:rFonts w:asciiTheme="minorHAnsi" w:hAnsiTheme="minorHAnsi"/>
                <w:color w:val="000000"/>
              </w:rPr>
              <w:t xml:space="preserve">000 private well owners across Minnesota. The survey will investigate private well owners’ </w:t>
            </w:r>
            <w:r w:rsidR="00574FE0">
              <w:rPr>
                <w:rFonts w:asciiTheme="minorHAnsi" w:hAnsiTheme="minorHAnsi"/>
                <w:color w:val="000000"/>
              </w:rPr>
              <w:t xml:space="preserve">beliefs about groundwater problems and groundwater protection, their </w:t>
            </w:r>
            <w:r w:rsidRPr="00D61C8E">
              <w:rPr>
                <w:rFonts w:asciiTheme="minorHAnsi" w:hAnsiTheme="minorHAnsi"/>
                <w:color w:val="000000"/>
              </w:rPr>
              <w:t xml:space="preserve">willingness to engage in groundwater management, </w:t>
            </w:r>
            <w:r w:rsidR="00574FE0">
              <w:rPr>
                <w:rFonts w:asciiTheme="minorHAnsi" w:hAnsiTheme="minorHAnsi"/>
                <w:color w:val="000000"/>
              </w:rPr>
              <w:t xml:space="preserve">and </w:t>
            </w:r>
            <w:r w:rsidRPr="00D61C8E">
              <w:rPr>
                <w:rFonts w:asciiTheme="minorHAnsi" w:hAnsiTheme="minorHAnsi"/>
                <w:color w:val="000000"/>
              </w:rPr>
              <w:t xml:space="preserve">support for groundwater management strategies. Survey data will be analyzed using descriptive and inferential statistics (e.g., regression) to identify factors that influence </w:t>
            </w:r>
            <w:r w:rsidR="00A4354D" w:rsidRPr="00D61C8E">
              <w:rPr>
                <w:rFonts w:asciiTheme="minorHAnsi" w:hAnsiTheme="minorHAnsi"/>
                <w:color w:val="000000"/>
              </w:rPr>
              <w:t>private well owners’ engagement in groundwater protection.</w:t>
            </w:r>
            <w:r w:rsidR="00040A75">
              <w:rPr>
                <w:rFonts w:asciiTheme="minorHAnsi" w:hAnsiTheme="minorHAnsi"/>
                <w:color w:val="000000"/>
              </w:rPr>
              <w:t xml:space="preserve"> Findings from this activity will inform participant recruitment in activity 2. </w:t>
            </w:r>
          </w:p>
          <w:p w:rsidR="00546728" w:rsidRPr="00D61C8E" w:rsidRDefault="00546728" w:rsidP="00430C20">
            <w:pPr>
              <w:rPr>
                <w:rFonts w:asciiTheme="minorHAnsi" w:hAnsiTheme="minorHAnsi"/>
                <w:color w:val="000000"/>
              </w:rPr>
            </w:pPr>
          </w:p>
          <w:p w:rsidR="00546728" w:rsidRPr="00D61C8E" w:rsidRDefault="00546728" w:rsidP="007B7E1A">
            <w:pPr>
              <w:autoSpaceDE w:val="0"/>
              <w:autoSpaceDN w:val="0"/>
              <w:adjustRightInd w:val="0"/>
              <w:rPr>
                <w:rFonts w:asciiTheme="minorHAnsi" w:hAnsiTheme="minorHAnsi" w:cs="Arial"/>
                <w:b/>
                <w:bCs/>
                <w:color w:val="000000"/>
              </w:rPr>
            </w:pPr>
            <w:r w:rsidRPr="00D61C8E">
              <w:rPr>
                <w:rFonts w:asciiTheme="minorHAnsi" w:hAnsiTheme="minorHAnsi" w:cs="Arial"/>
                <w:b/>
                <w:bCs/>
                <w:color w:val="000000"/>
              </w:rPr>
              <w:t>ENRTF BUDGET: $</w:t>
            </w:r>
            <w:r w:rsidR="0008614F">
              <w:rPr>
                <w:rFonts w:asciiTheme="minorHAnsi" w:hAnsiTheme="minorHAnsi" w:cs="Arial"/>
                <w:b/>
                <w:bCs/>
                <w:color w:val="000000"/>
              </w:rPr>
              <w:t>149,584.00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D61C8E" w:rsidTr="005F7237">
        <w:tc>
          <w:tcPr>
            <w:tcW w:w="8478" w:type="dxa"/>
          </w:tcPr>
          <w:p w:rsidR="006E0EFD" w:rsidRPr="00D61C8E" w:rsidRDefault="00A13F26" w:rsidP="006E0EFD">
            <w:pPr>
              <w:rPr>
                <w:rFonts w:asciiTheme="minorHAnsi" w:hAnsiTheme="minorHAnsi" w:cs="Arial"/>
                <w:b/>
              </w:rPr>
            </w:pPr>
            <w:r w:rsidRPr="00D61C8E">
              <w:rPr>
                <w:rFonts w:asciiTheme="minorHAnsi" w:hAnsiTheme="minorHAnsi" w:cs="Arial"/>
                <w:b/>
              </w:rPr>
              <w:t>Outcome</w:t>
            </w:r>
          </w:p>
        </w:tc>
        <w:tc>
          <w:tcPr>
            <w:tcW w:w="1800" w:type="dxa"/>
          </w:tcPr>
          <w:p w:rsidR="006E0EFD" w:rsidRPr="00D61C8E" w:rsidRDefault="006E0EFD" w:rsidP="005F7237">
            <w:pPr>
              <w:jc w:val="center"/>
              <w:rPr>
                <w:rFonts w:asciiTheme="minorHAnsi" w:hAnsiTheme="minorHAnsi" w:cs="Arial"/>
                <w:b/>
              </w:rPr>
            </w:pPr>
            <w:r w:rsidRPr="00D61C8E">
              <w:rPr>
                <w:rFonts w:asciiTheme="minorHAnsi" w:hAnsiTheme="minorHAnsi" w:cs="Arial"/>
                <w:b/>
              </w:rPr>
              <w:t>Completion Date</w:t>
            </w:r>
          </w:p>
        </w:tc>
      </w:tr>
      <w:tr w:rsidR="006E0EFD" w:rsidRPr="00D61C8E" w:rsidTr="005F7237">
        <w:tc>
          <w:tcPr>
            <w:tcW w:w="8478" w:type="dxa"/>
          </w:tcPr>
          <w:p w:rsidR="006E0EFD" w:rsidRPr="00D61C8E" w:rsidRDefault="006E0EFD" w:rsidP="008949EE">
            <w:pPr>
              <w:rPr>
                <w:rFonts w:asciiTheme="minorHAnsi" w:hAnsiTheme="minorHAnsi" w:cs="Arial"/>
                <w:i/>
              </w:rPr>
            </w:pPr>
            <w:r w:rsidRPr="00D61C8E">
              <w:rPr>
                <w:rFonts w:asciiTheme="minorHAnsi" w:hAnsiTheme="minorHAnsi" w:cs="Arial"/>
                <w:i/>
              </w:rPr>
              <w:t xml:space="preserve">1.  </w:t>
            </w:r>
            <w:r w:rsidR="00430C20" w:rsidRPr="00D61C8E">
              <w:rPr>
                <w:rFonts w:asciiTheme="minorHAnsi" w:hAnsiTheme="minorHAnsi" w:cs="Arial"/>
                <w:i/>
              </w:rPr>
              <w:t>Develop survey questionnaire</w:t>
            </w:r>
          </w:p>
        </w:tc>
        <w:tc>
          <w:tcPr>
            <w:tcW w:w="1800" w:type="dxa"/>
          </w:tcPr>
          <w:p w:rsidR="006E0EFD" w:rsidRPr="00D61C8E" w:rsidRDefault="00430C20" w:rsidP="006E0EFD">
            <w:pPr>
              <w:rPr>
                <w:rFonts w:asciiTheme="minorHAnsi" w:hAnsiTheme="minorHAnsi" w:cs="Arial"/>
                <w:i/>
              </w:rPr>
            </w:pPr>
            <w:r w:rsidRPr="00D61C8E">
              <w:rPr>
                <w:rFonts w:asciiTheme="minorHAnsi" w:hAnsiTheme="minorHAnsi" w:cs="Arial"/>
                <w:i/>
              </w:rPr>
              <w:t>December, 2020</w:t>
            </w:r>
          </w:p>
        </w:tc>
      </w:tr>
      <w:tr w:rsidR="006E0EFD" w:rsidRPr="00D61C8E" w:rsidTr="005F7237">
        <w:tc>
          <w:tcPr>
            <w:tcW w:w="8478" w:type="dxa"/>
          </w:tcPr>
          <w:p w:rsidR="006E0EFD" w:rsidRPr="00D61C8E" w:rsidRDefault="006E0EFD" w:rsidP="008949EE">
            <w:pPr>
              <w:rPr>
                <w:rFonts w:asciiTheme="minorHAnsi" w:hAnsiTheme="minorHAnsi" w:cs="Arial"/>
                <w:i/>
              </w:rPr>
            </w:pPr>
            <w:r w:rsidRPr="00D61C8E">
              <w:rPr>
                <w:rFonts w:asciiTheme="minorHAnsi" w:hAnsiTheme="minorHAnsi" w:cs="Arial"/>
                <w:i/>
              </w:rPr>
              <w:t xml:space="preserve">2.  </w:t>
            </w:r>
            <w:r w:rsidR="00430C20" w:rsidRPr="00D61C8E">
              <w:rPr>
                <w:rFonts w:asciiTheme="minorHAnsi" w:hAnsiTheme="minorHAnsi" w:cs="Arial"/>
                <w:i/>
              </w:rPr>
              <w:t>Administer survey questionnaire</w:t>
            </w:r>
          </w:p>
        </w:tc>
        <w:tc>
          <w:tcPr>
            <w:tcW w:w="1800" w:type="dxa"/>
          </w:tcPr>
          <w:p w:rsidR="006E0EFD" w:rsidRPr="00D61C8E" w:rsidRDefault="00A4354D" w:rsidP="006E0EFD">
            <w:pPr>
              <w:rPr>
                <w:rFonts w:asciiTheme="minorHAnsi" w:hAnsiTheme="minorHAnsi" w:cs="Arial"/>
                <w:i/>
              </w:rPr>
            </w:pPr>
            <w:r w:rsidRPr="00D61C8E">
              <w:rPr>
                <w:rFonts w:asciiTheme="minorHAnsi" w:hAnsiTheme="minorHAnsi" w:cs="Arial"/>
                <w:i/>
              </w:rPr>
              <w:t>June, 2021</w:t>
            </w:r>
          </w:p>
        </w:tc>
      </w:tr>
      <w:tr w:rsidR="006E0EFD" w:rsidRPr="00D61C8E" w:rsidTr="005F7237">
        <w:tc>
          <w:tcPr>
            <w:tcW w:w="8478" w:type="dxa"/>
          </w:tcPr>
          <w:p w:rsidR="006E0EFD" w:rsidRPr="00D61C8E" w:rsidRDefault="006E0EFD" w:rsidP="008949EE">
            <w:pPr>
              <w:rPr>
                <w:rFonts w:asciiTheme="minorHAnsi" w:hAnsiTheme="minorHAnsi" w:cs="Arial"/>
                <w:i/>
              </w:rPr>
            </w:pPr>
            <w:r w:rsidRPr="00D61C8E">
              <w:rPr>
                <w:rFonts w:asciiTheme="minorHAnsi" w:hAnsiTheme="minorHAnsi" w:cs="Arial"/>
                <w:i/>
              </w:rPr>
              <w:t xml:space="preserve">3.  </w:t>
            </w:r>
            <w:r w:rsidR="00A4354D" w:rsidRPr="00D61C8E">
              <w:rPr>
                <w:rFonts w:asciiTheme="minorHAnsi" w:hAnsiTheme="minorHAnsi" w:cs="Arial"/>
                <w:i/>
              </w:rPr>
              <w:t>Conduct survey data analysis</w:t>
            </w:r>
          </w:p>
        </w:tc>
        <w:tc>
          <w:tcPr>
            <w:tcW w:w="1800" w:type="dxa"/>
          </w:tcPr>
          <w:p w:rsidR="006E0EFD" w:rsidRPr="00D61C8E" w:rsidRDefault="00A4354D" w:rsidP="006E0EFD">
            <w:pPr>
              <w:rPr>
                <w:rFonts w:asciiTheme="minorHAnsi" w:hAnsiTheme="minorHAnsi" w:cs="Arial"/>
                <w:i/>
              </w:rPr>
            </w:pPr>
            <w:r w:rsidRPr="00D61C8E">
              <w:rPr>
                <w:rFonts w:asciiTheme="minorHAnsi" w:hAnsiTheme="minorHAnsi" w:cs="Arial"/>
                <w:i/>
              </w:rPr>
              <w:t>September, 2021</w:t>
            </w:r>
          </w:p>
        </w:tc>
      </w:tr>
    </w:tbl>
    <w:p w:rsidR="00C02DAD" w:rsidRPr="00D61C8E" w:rsidRDefault="00C02DAD" w:rsidP="005431D4">
      <w:pPr>
        <w:tabs>
          <w:tab w:val="left" w:pos="540"/>
        </w:tabs>
        <w:autoSpaceDE w:val="0"/>
        <w:autoSpaceDN w:val="0"/>
        <w:adjustRightInd w:val="0"/>
        <w:rPr>
          <w:rFonts w:asciiTheme="minorHAnsi" w:hAnsiTheme="minorHAnsi" w:cs="Arial"/>
          <w:i/>
        </w:rPr>
      </w:pP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6"/>
      </w:tblGrid>
      <w:tr w:rsidR="00546728" w:rsidRPr="00D61C8E" w:rsidTr="00142C12">
        <w:tc>
          <w:tcPr>
            <w:tcW w:w="10476" w:type="dxa"/>
          </w:tcPr>
          <w:p w:rsidR="00546728" w:rsidRPr="00D61C8E" w:rsidRDefault="00546728" w:rsidP="00142C12">
            <w:pPr>
              <w:widowControl w:val="0"/>
              <w:rPr>
                <w:rFonts w:asciiTheme="minorHAnsi" w:hAnsiTheme="minorHAnsi" w:cs="Arial"/>
                <w:b/>
              </w:rPr>
            </w:pPr>
            <w:r w:rsidRPr="00D61C8E">
              <w:rPr>
                <w:rFonts w:asciiTheme="minorHAnsi" w:hAnsiTheme="minorHAnsi" w:cs="Arial"/>
                <w:b/>
              </w:rPr>
              <w:t xml:space="preserve">Activity 2 Title: Focus groups with </w:t>
            </w:r>
            <w:r w:rsidR="00040A75">
              <w:rPr>
                <w:rFonts w:asciiTheme="minorHAnsi" w:hAnsiTheme="minorHAnsi" w:cs="Arial"/>
                <w:b/>
              </w:rPr>
              <w:t>private well owners</w:t>
            </w:r>
            <w:r w:rsidR="00574FE0">
              <w:rPr>
                <w:rFonts w:asciiTheme="minorHAnsi" w:hAnsiTheme="minorHAnsi" w:cs="Arial"/>
                <w:b/>
              </w:rPr>
              <w:t xml:space="preserve"> to assess motivations for and constraints to their engagement in groundwater protection</w:t>
            </w:r>
          </w:p>
          <w:p w:rsidR="00546728" w:rsidRPr="00D61C8E" w:rsidRDefault="00546728" w:rsidP="00142C12">
            <w:pPr>
              <w:rPr>
                <w:rFonts w:asciiTheme="minorHAnsi" w:hAnsiTheme="minorHAnsi"/>
                <w:color w:val="000000"/>
              </w:rPr>
            </w:pPr>
            <w:r w:rsidRPr="00D61C8E">
              <w:rPr>
                <w:rFonts w:asciiTheme="minorHAnsi" w:hAnsiTheme="minorHAnsi" w:cs="Arial"/>
                <w:b/>
              </w:rPr>
              <w:t>Description:</w:t>
            </w:r>
            <w:r w:rsidRPr="00D61C8E">
              <w:rPr>
                <w:rFonts w:asciiTheme="minorHAnsi" w:hAnsiTheme="minorHAnsi" w:cs="Arial"/>
                <w:i/>
              </w:rPr>
              <w:t xml:space="preserve"> </w:t>
            </w:r>
            <w:r w:rsidR="00040A75">
              <w:rPr>
                <w:rFonts w:asciiTheme="minorHAnsi" w:hAnsiTheme="minorHAnsi" w:cs="Arial"/>
              </w:rPr>
              <w:t xml:space="preserve">We recognize that private well owners across the state are a diverse group with varying land uses and groundwater concerns. </w:t>
            </w:r>
            <w:r w:rsidRPr="00D61C8E">
              <w:rPr>
                <w:rFonts w:asciiTheme="minorHAnsi" w:hAnsiTheme="minorHAnsi"/>
                <w:color w:val="000000"/>
              </w:rPr>
              <w:t xml:space="preserve">We will conduct three focus groups with </w:t>
            </w:r>
            <w:r w:rsidR="00040A75">
              <w:rPr>
                <w:rFonts w:asciiTheme="minorHAnsi" w:hAnsiTheme="minorHAnsi"/>
                <w:color w:val="000000"/>
              </w:rPr>
              <w:t>private well owners that represent the diversity of well owners across the state. The focus groups will provide in-depth qualitative data about well owners</w:t>
            </w:r>
            <w:r w:rsidR="0096160F">
              <w:rPr>
                <w:rFonts w:asciiTheme="minorHAnsi" w:hAnsiTheme="minorHAnsi"/>
                <w:color w:val="000000"/>
              </w:rPr>
              <w:t>’</w:t>
            </w:r>
            <w:r w:rsidR="00040A75">
              <w:rPr>
                <w:rFonts w:asciiTheme="minorHAnsi" w:hAnsiTheme="minorHAnsi"/>
                <w:color w:val="000000"/>
              </w:rPr>
              <w:t xml:space="preserve"> motivations for and constraints to engagement in groundwater protection. </w:t>
            </w:r>
            <w:r w:rsidR="00A4354D" w:rsidRPr="00D61C8E">
              <w:rPr>
                <w:rFonts w:asciiTheme="minorHAnsi" w:hAnsiTheme="minorHAnsi"/>
              </w:rPr>
              <w:t xml:space="preserve">Focus group questioning will follow a semi-structured format (Brinkman and </w:t>
            </w:r>
            <w:proofErr w:type="spellStart"/>
            <w:r w:rsidR="00A4354D" w:rsidRPr="00D61C8E">
              <w:rPr>
                <w:rFonts w:asciiTheme="minorHAnsi" w:hAnsiTheme="minorHAnsi"/>
              </w:rPr>
              <w:t>Kvale</w:t>
            </w:r>
            <w:proofErr w:type="spellEnd"/>
            <w:r w:rsidR="00A4354D" w:rsidRPr="00D61C8E">
              <w:rPr>
                <w:rFonts w:asciiTheme="minorHAnsi" w:hAnsiTheme="minorHAnsi"/>
              </w:rPr>
              <w:t>, 2015)</w:t>
            </w:r>
            <w:r w:rsidR="00D61C8E" w:rsidRPr="00D61C8E">
              <w:rPr>
                <w:rFonts w:asciiTheme="minorHAnsi" w:hAnsiTheme="minorHAnsi"/>
              </w:rPr>
              <w:t xml:space="preserve">. </w:t>
            </w:r>
            <w:r w:rsidR="00A4354D" w:rsidRPr="00D61C8E">
              <w:rPr>
                <w:rFonts w:asciiTheme="minorHAnsi" w:hAnsiTheme="minorHAnsi"/>
              </w:rPr>
              <w:t xml:space="preserve">Standard qualitative data analysis (e.g., Corbin and Strauss, 2008) will be conducted to identify key capacities and constraints. </w:t>
            </w:r>
          </w:p>
          <w:p w:rsidR="00546728" w:rsidRPr="00D61C8E" w:rsidRDefault="00546728" w:rsidP="00142C12">
            <w:pPr>
              <w:rPr>
                <w:rFonts w:asciiTheme="minorHAnsi" w:hAnsiTheme="minorHAnsi"/>
                <w:color w:val="000000"/>
              </w:rPr>
            </w:pPr>
          </w:p>
          <w:p w:rsidR="00546728" w:rsidRPr="00D61C8E" w:rsidRDefault="00546728" w:rsidP="0008614F">
            <w:pPr>
              <w:autoSpaceDE w:val="0"/>
              <w:autoSpaceDN w:val="0"/>
              <w:adjustRightInd w:val="0"/>
              <w:rPr>
                <w:rFonts w:asciiTheme="minorHAnsi" w:hAnsiTheme="minorHAnsi" w:cs="Arial"/>
              </w:rPr>
            </w:pPr>
            <w:r w:rsidRPr="00D61C8E">
              <w:rPr>
                <w:rFonts w:asciiTheme="minorHAnsi" w:hAnsiTheme="minorHAnsi" w:cs="Arial"/>
                <w:b/>
                <w:bCs/>
                <w:color w:val="000000"/>
              </w:rPr>
              <w:t>ENRTF BUDGET: $</w:t>
            </w:r>
            <w:r w:rsidR="0008614F">
              <w:rPr>
                <w:rFonts w:asciiTheme="minorHAnsi" w:hAnsiTheme="minorHAnsi" w:cs="Arial"/>
                <w:b/>
                <w:bCs/>
                <w:color w:val="000000"/>
              </w:rPr>
              <w:t>117,208.00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46728" w:rsidRPr="00D61C8E" w:rsidTr="00142C12">
        <w:tc>
          <w:tcPr>
            <w:tcW w:w="8478" w:type="dxa"/>
          </w:tcPr>
          <w:p w:rsidR="00546728" w:rsidRPr="00D61C8E" w:rsidRDefault="00546728" w:rsidP="00142C12">
            <w:pPr>
              <w:rPr>
                <w:rFonts w:asciiTheme="minorHAnsi" w:hAnsiTheme="minorHAnsi" w:cs="Arial"/>
                <w:b/>
              </w:rPr>
            </w:pPr>
            <w:r w:rsidRPr="00D61C8E">
              <w:rPr>
                <w:rFonts w:asciiTheme="minorHAnsi" w:hAnsiTheme="minorHAnsi" w:cs="Arial"/>
                <w:b/>
              </w:rPr>
              <w:t>Outcome</w:t>
            </w:r>
          </w:p>
        </w:tc>
        <w:tc>
          <w:tcPr>
            <w:tcW w:w="1800" w:type="dxa"/>
          </w:tcPr>
          <w:p w:rsidR="00546728" w:rsidRPr="00D61C8E" w:rsidRDefault="00546728" w:rsidP="00142C12">
            <w:pPr>
              <w:jc w:val="center"/>
              <w:rPr>
                <w:rFonts w:asciiTheme="minorHAnsi" w:hAnsiTheme="minorHAnsi" w:cs="Arial"/>
                <w:b/>
              </w:rPr>
            </w:pPr>
            <w:r w:rsidRPr="00D61C8E">
              <w:rPr>
                <w:rFonts w:asciiTheme="minorHAnsi" w:hAnsiTheme="minorHAnsi" w:cs="Arial"/>
                <w:b/>
              </w:rPr>
              <w:t>Completion Date</w:t>
            </w:r>
          </w:p>
        </w:tc>
      </w:tr>
      <w:tr w:rsidR="00546728" w:rsidRPr="00D61C8E" w:rsidTr="00142C12">
        <w:tc>
          <w:tcPr>
            <w:tcW w:w="8478" w:type="dxa"/>
          </w:tcPr>
          <w:p w:rsidR="00546728" w:rsidRPr="00D61C8E" w:rsidRDefault="00546728" w:rsidP="00A4354D">
            <w:pPr>
              <w:rPr>
                <w:rFonts w:asciiTheme="minorHAnsi" w:hAnsiTheme="minorHAnsi" w:cs="Arial"/>
                <w:i/>
              </w:rPr>
            </w:pPr>
            <w:r w:rsidRPr="00D61C8E">
              <w:rPr>
                <w:rFonts w:asciiTheme="minorHAnsi" w:hAnsiTheme="minorHAnsi" w:cs="Arial"/>
                <w:i/>
              </w:rPr>
              <w:t xml:space="preserve">1.  Develop </w:t>
            </w:r>
            <w:r w:rsidR="00A4354D" w:rsidRPr="00D61C8E">
              <w:rPr>
                <w:rFonts w:asciiTheme="minorHAnsi" w:hAnsiTheme="minorHAnsi" w:cs="Arial"/>
                <w:i/>
              </w:rPr>
              <w:t>focus group questions and study materials (e.g., agenda, script)</w:t>
            </w:r>
          </w:p>
        </w:tc>
        <w:tc>
          <w:tcPr>
            <w:tcW w:w="1800" w:type="dxa"/>
          </w:tcPr>
          <w:p w:rsidR="00546728" w:rsidRPr="00D61C8E" w:rsidRDefault="00A4354D" w:rsidP="00142C12">
            <w:pPr>
              <w:rPr>
                <w:rFonts w:asciiTheme="minorHAnsi" w:hAnsiTheme="minorHAnsi" w:cs="Arial"/>
                <w:i/>
              </w:rPr>
            </w:pPr>
            <w:r w:rsidRPr="00D61C8E">
              <w:rPr>
                <w:rFonts w:asciiTheme="minorHAnsi" w:hAnsiTheme="minorHAnsi" w:cs="Arial"/>
                <w:i/>
              </w:rPr>
              <w:t>September, 2021</w:t>
            </w:r>
          </w:p>
        </w:tc>
      </w:tr>
      <w:tr w:rsidR="00546728" w:rsidRPr="00D61C8E" w:rsidTr="00142C12">
        <w:tc>
          <w:tcPr>
            <w:tcW w:w="8478" w:type="dxa"/>
          </w:tcPr>
          <w:p w:rsidR="00546728" w:rsidRPr="00D61C8E" w:rsidRDefault="00546728" w:rsidP="00671E91">
            <w:pPr>
              <w:rPr>
                <w:rFonts w:asciiTheme="minorHAnsi" w:hAnsiTheme="minorHAnsi" w:cs="Arial"/>
                <w:i/>
              </w:rPr>
            </w:pPr>
            <w:r w:rsidRPr="00D61C8E">
              <w:rPr>
                <w:rFonts w:asciiTheme="minorHAnsi" w:hAnsiTheme="minorHAnsi" w:cs="Arial"/>
                <w:i/>
              </w:rPr>
              <w:t xml:space="preserve">2.  </w:t>
            </w:r>
            <w:r w:rsidR="00671E91" w:rsidRPr="00D61C8E">
              <w:rPr>
                <w:rFonts w:asciiTheme="minorHAnsi" w:hAnsiTheme="minorHAnsi" w:cs="Arial"/>
                <w:i/>
              </w:rPr>
              <w:t>Conduct focus groups</w:t>
            </w:r>
          </w:p>
        </w:tc>
        <w:tc>
          <w:tcPr>
            <w:tcW w:w="1800" w:type="dxa"/>
          </w:tcPr>
          <w:p w:rsidR="00546728" w:rsidRPr="00D61C8E" w:rsidRDefault="00671E91" w:rsidP="00142C12">
            <w:pPr>
              <w:rPr>
                <w:rFonts w:asciiTheme="minorHAnsi" w:hAnsiTheme="minorHAnsi" w:cs="Arial"/>
                <w:i/>
              </w:rPr>
            </w:pPr>
            <w:r w:rsidRPr="00D61C8E">
              <w:rPr>
                <w:rFonts w:asciiTheme="minorHAnsi" w:hAnsiTheme="minorHAnsi" w:cs="Arial"/>
                <w:i/>
              </w:rPr>
              <w:t>December, 2021</w:t>
            </w:r>
          </w:p>
        </w:tc>
      </w:tr>
      <w:tr w:rsidR="00546728" w:rsidRPr="00D61C8E" w:rsidTr="00142C12">
        <w:tc>
          <w:tcPr>
            <w:tcW w:w="8478" w:type="dxa"/>
          </w:tcPr>
          <w:p w:rsidR="00546728" w:rsidRPr="00D61C8E" w:rsidRDefault="00546728" w:rsidP="00C51369">
            <w:pPr>
              <w:rPr>
                <w:rFonts w:asciiTheme="minorHAnsi" w:hAnsiTheme="minorHAnsi" w:cs="Arial"/>
                <w:i/>
              </w:rPr>
            </w:pPr>
            <w:r w:rsidRPr="00D61C8E">
              <w:rPr>
                <w:rFonts w:asciiTheme="minorHAnsi" w:hAnsiTheme="minorHAnsi" w:cs="Arial"/>
                <w:i/>
              </w:rPr>
              <w:t xml:space="preserve">3.  </w:t>
            </w:r>
            <w:r w:rsidR="00671E91" w:rsidRPr="00D61C8E">
              <w:rPr>
                <w:rFonts w:asciiTheme="minorHAnsi" w:hAnsiTheme="minorHAnsi" w:cs="Arial"/>
                <w:i/>
              </w:rPr>
              <w:t>Conduct qualitative analysis o</w:t>
            </w:r>
            <w:r w:rsidR="00C51369">
              <w:rPr>
                <w:rFonts w:asciiTheme="minorHAnsi" w:hAnsiTheme="minorHAnsi" w:cs="Arial"/>
                <w:i/>
              </w:rPr>
              <w:t>f</w:t>
            </w:r>
            <w:r w:rsidR="00671E91" w:rsidRPr="00D61C8E">
              <w:rPr>
                <w:rFonts w:asciiTheme="minorHAnsi" w:hAnsiTheme="minorHAnsi" w:cs="Arial"/>
                <w:i/>
              </w:rPr>
              <w:t xml:space="preserve"> focus group data</w:t>
            </w:r>
          </w:p>
        </w:tc>
        <w:tc>
          <w:tcPr>
            <w:tcW w:w="1800" w:type="dxa"/>
          </w:tcPr>
          <w:p w:rsidR="00546728" w:rsidRPr="00D61C8E" w:rsidRDefault="00671E91" w:rsidP="00142C12">
            <w:pPr>
              <w:rPr>
                <w:rFonts w:asciiTheme="minorHAnsi" w:hAnsiTheme="minorHAnsi" w:cs="Arial"/>
                <w:i/>
              </w:rPr>
            </w:pPr>
            <w:r w:rsidRPr="00D61C8E">
              <w:rPr>
                <w:rFonts w:asciiTheme="minorHAnsi" w:hAnsiTheme="minorHAnsi" w:cs="Arial"/>
                <w:i/>
              </w:rPr>
              <w:t>April, 2022</w:t>
            </w:r>
          </w:p>
        </w:tc>
      </w:tr>
    </w:tbl>
    <w:p w:rsidR="00C02DAD" w:rsidRPr="00D61C8E" w:rsidRDefault="00C02DAD" w:rsidP="005431D4">
      <w:pPr>
        <w:tabs>
          <w:tab w:val="left" w:pos="540"/>
        </w:tabs>
        <w:autoSpaceDE w:val="0"/>
        <w:autoSpaceDN w:val="0"/>
        <w:adjustRightInd w:val="0"/>
        <w:rPr>
          <w:rFonts w:asciiTheme="minorHAnsi" w:hAnsiTheme="minorHAnsi" w:cs="Arial"/>
          <w:i/>
        </w:rPr>
      </w:pPr>
    </w:p>
    <w:p w:rsidR="00671E91" w:rsidRPr="00D61C8E" w:rsidRDefault="00671E91" w:rsidP="00671E91">
      <w:pPr>
        <w:widowControl w:val="0"/>
        <w:rPr>
          <w:rFonts w:asciiTheme="minorHAnsi" w:hAnsiTheme="minorHAnsi" w:cs="Arial"/>
          <w:b/>
        </w:rPr>
      </w:pPr>
      <w:r w:rsidRPr="00D61C8E">
        <w:rPr>
          <w:rFonts w:asciiTheme="minorHAnsi" w:hAnsiTheme="minorHAnsi" w:cs="Arial"/>
          <w:b/>
        </w:rPr>
        <w:t>Activity 3 Title: Randomized control trials and post-intervention survey to determine effectiveness of intervention strategy</w:t>
      </w:r>
    </w:p>
    <w:p w:rsidR="00671E91" w:rsidRPr="00D61C8E" w:rsidRDefault="00671E91" w:rsidP="00671E91">
      <w:pPr>
        <w:rPr>
          <w:rFonts w:asciiTheme="minorHAnsi" w:hAnsiTheme="minorHAnsi"/>
          <w:color w:val="000000"/>
        </w:rPr>
      </w:pPr>
      <w:r w:rsidRPr="00D61C8E">
        <w:rPr>
          <w:rFonts w:asciiTheme="minorHAnsi" w:hAnsiTheme="minorHAnsi" w:cs="Arial"/>
          <w:b/>
        </w:rPr>
        <w:t>Description:</w:t>
      </w:r>
      <w:r w:rsidRPr="00D61C8E">
        <w:rPr>
          <w:rFonts w:asciiTheme="minorHAnsi" w:hAnsiTheme="minorHAnsi" w:cs="Arial"/>
          <w:i/>
        </w:rPr>
        <w:t xml:space="preserve"> </w:t>
      </w:r>
      <w:r w:rsidR="005E1859" w:rsidRPr="00D61C8E">
        <w:rPr>
          <w:rFonts w:asciiTheme="minorHAnsi" w:hAnsiTheme="minorHAnsi" w:cs="Arial"/>
        </w:rPr>
        <w:t xml:space="preserve">Findings from activities 1 and 2 will be used to </w:t>
      </w:r>
      <w:r w:rsidRPr="00D61C8E">
        <w:rPr>
          <w:rFonts w:asciiTheme="minorHAnsi" w:hAnsiTheme="minorHAnsi"/>
          <w:color w:val="000000"/>
        </w:rPr>
        <w:t xml:space="preserve">develop a benchmarking tool to provide tailored feedback about groundwater issues, and actions private well owners can take to address groundwater issues. A randomized control trial followed by a post-intervention survey will be conducted. Participants will be selected from the pool of survey respondents in activity 1. </w:t>
      </w:r>
      <w:r w:rsidR="002C7326">
        <w:rPr>
          <w:rFonts w:asciiTheme="minorHAnsi" w:hAnsiTheme="minorHAnsi"/>
          <w:color w:val="000000"/>
        </w:rPr>
        <w:t>Participants</w:t>
      </w:r>
      <w:r w:rsidRPr="00D61C8E">
        <w:rPr>
          <w:rFonts w:asciiTheme="minorHAnsi" w:hAnsiTheme="minorHAnsi"/>
          <w:color w:val="000000"/>
        </w:rPr>
        <w:t xml:space="preserve"> will be randomly assigned to one of two experimental groups: a treatment group that receives a benchmarking report, and a control group that does not receive the intervention. Six months after the intervention, a post-intervention survey will be administered. The survey will inquire about participants’ beliefs and concerns about groundwater problems, and their conservation and engagement behaviors. Inferential statistics (e.g., repeated measures analysis of variance) will be used to evaluate any changes in beliefs and behaviors before and after intervention. </w:t>
      </w:r>
    </w:p>
    <w:p w:rsidR="00671E91" w:rsidRDefault="00671E91" w:rsidP="00671E91">
      <w:pPr>
        <w:rPr>
          <w:rFonts w:asciiTheme="minorHAnsi" w:hAnsiTheme="minorHAnsi"/>
          <w:color w:val="000000"/>
        </w:rPr>
      </w:pPr>
    </w:p>
    <w:p w:rsidR="005E70AA" w:rsidRPr="0096160F" w:rsidRDefault="005E70AA" w:rsidP="0096160F">
      <w:pPr>
        <w:autoSpaceDE w:val="0"/>
        <w:autoSpaceDN w:val="0"/>
        <w:adjustRightInd w:val="0"/>
        <w:rPr>
          <w:rFonts w:asciiTheme="minorHAnsi" w:hAnsiTheme="minorHAnsi" w:cs="Arial"/>
          <w:b/>
          <w:bCs/>
          <w:color w:val="000000"/>
        </w:rPr>
      </w:pPr>
      <w:r w:rsidRPr="00D61C8E">
        <w:rPr>
          <w:rFonts w:asciiTheme="minorHAnsi" w:hAnsiTheme="minorHAnsi" w:cs="Arial"/>
          <w:b/>
          <w:bCs/>
          <w:color w:val="000000"/>
        </w:rPr>
        <w:t>ENRTF BUDGET: $</w:t>
      </w:r>
      <w:r w:rsidR="0008614F">
        <w:rPr>
          <w:rFonts w:asciiTheme="minorHAnsi" w:hAnsiTheme="minorHAnsi" w:cs="Arial"/>
          <w:b/>
          <w:bCs/>
          <w:color w:val="000000"/>
        </w:rPr>
        <w:t>114,208.00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71E91" w:rsidRPr="00D61C8E" w:rsidTr="00142C12">
        <w:tc>
          <w:tcPr>
            <w:tcW w:w="8478" w:type="dxa"/>
          </w:tcPr>
          <w:p w:rsidR="00671E91" w:rsidRPr="00D61C8E" w:rsidRDefault="00671E91" w:rsidP="00142C12">
            <w:pPr>
              <w:rPr>
                <w:rFonts w:asciiTheme="minorHAnsi" w:hAnsiTheme="minorHAnsi" w:cs="Arial"/>
                <w:b/>
              </w:rPr>
            </w:pPr>
            <w:r w:rsidRPr="00D61C8E">
              <w:rPr>
                <w:rFonts w:asciiTheme="minorHAnsi" w:hAnsiTheme="minorHAnsi" w:cs="Arial"/>
                <w:b/>
              </w:rPr>
              <w:t>Outcome</w:t>
            </w:r>
          </w:p>
        </w:tc>
        <w:tc>
          <w:tcPr>
            <w:tcW w:w="1800" w:type="dxa"/>
          </w:tcPr>
          <w:p w:rsidR="00671E91" w:rsidRPr="00D61C8E" w:rsidRDefault="00671E91" w:rsidP="00142C12">
            <w:pPr>
              <w:jc w:val="center"/>
              <w:rPr>
                <w:rFonts w:asciiTheme="minorHAnsi" w:hAnsiTheme="minorHAnsi" w:cs="Arial"/>
                <w:b/>
              </w:rPr>
            </w:pPr>
            <w:r w:rsidRPr="00D61C8E">
              <w:rPr>
                <w:rFonts w:asciiTheme="minorHAnsi" w:hAnsiTheme="minorHAnsi" w:cs="Arial"/>
                <w:b/>
              </w:rPr>
              <w:t>Completion Date</w:t>
            </w:r>
          </w:p>
        </w:tc>
      </w:tr>
      <w:tr w:rsidR="00671E91" w:rsidRPr="00D61C8E" w:rsidTr="00142C12">
        <w:tc>
          <w:tcPr>
            <w:tcW w:w="8478" w:type="dxa"/>
          </w:tcPr>
          <w:p w:rsidR="00671E91" w:rsidRPr="00D61C8E" w:rsidRDefault="00671E91" w:rsidP="00671E91">
            <w:pPr>
              <w:rPr>
                <w:rFonts w:asciiTheme="minorHAnsi" w:hAnsiTheme="minorHAnsi" w:cs="Arial"/>
                <w:i/>
              </w:rPr>
            </w:pPr>
            <w:r w:rsidRPr="00D61C8E">
              <w:rPr>
                <w:rFonts w:asciiTheme="minorHAnsi" w:hAnsiTheme="minorHAnsi" w:cs="Arial"/>
                <w:i/>
              </w:rPr>
              <w:t>1.  Develop and distribute benchmarking tool</w:t>
            </w:r>
          </w:p>
        </w:tc>
        <w:tc>
          <w:tcPr>
            <w:tcW w:w="1800" w:type="dxa"/>
          </w:tcPr>
          <w:p w:rsidR="00671E91" w:rsidRPr="00D61C8E" w:rsidRDefault="00671E91" w:rsidP="00142C12">
            <w:pPr>
              <w:rPr>
                <w:rFonts w:asciiTheme="minorHAnsi" w:hAnsiTheme="minorHAnsi" w:cs="Arial"/>
                <w:i/>
              </w:rPr>
            </w:pPr>
            <w:r w:rsidRPr="00D61C8E">
              <w:rPr>
                <w:rFonts w:asciiTheme="minorHAnsi" w:hAnsiTheme="minorHAnsi" w:cs="Arial"/>
                <w:i/>
              </w:rPr>
              <w:t>June, 2022</w:t>
            </w:r>
          </w:p>
        </w:tc>
      </w:tr>
      <w:tr w:rsidR="00671E91" w:rsidRPr="00D61C8E" w:rsidTr="00142C12">
        <w:tc>
          <w:tcPr>
            <w:tcW w:w="8478" w:type="dxa"/>
          </w:tcPr>
          <w:p w:rsidR="00671E91" w:rsidRPr="00D61C8E" w:rsidRDefault="00671E91" w:rsidP="00E27636">
            <w:pPr>
              <w:rPr>
                <w:rFonts w:asciiTheme="minorHAnsi" w:hAnsiTheme="minorHAnsi" w:cs="Arial"/>
                <w:i/>
              </w:rPr>
            </w:pPr>
            <w:r w:rsidRPr="00D61C8E">
              <w:rPr>
                <w:rFonts w:asciiTheme="minorHAnsi" w:hAnsiTheme="minorHAnsi" w:cs="Arial"/>
                <w:i/>
              </w:rPr>
              <w:t xml:space="preserve">2.  </w:t>
            </w:r>
            <w:r w:rsidR="00E27636">
              <w:rPr>
                <w:rFonts w:asciiTheme="minorHAnsi" w:hAnsiTheme="minorHAnsi" w:cs="Arial"/>
                <w:i/>
              </w:rPr>
              <w:t>Administer post-intervention survey</w:t>
            </w:r>
            <w:r w:rsidR="009E1B6B" w:rsidRPr="00D61C8E">
              <w:rPr>
                <w:rFonts w:asciiTheme="minorHAnsi" w:hAnsiTheme="minorHAnsi" w:cs="Arial"/>
                <w:i/>
              </w:rPr>
              <w:t xml:space="preserve"> </w:t>
            </w:r>
          </w:p>
        </w:tc>
        <w:tc>
          <w:tcPr>
            <w:tcW w:w="1800" w:type="dxa"/>
          </w:tcPr>
          <w:p w:rsidR="00671E91" w:rsidRPr="00D61C8E" w:rsidRDefault="00671E91" w:rsidP="00142C12">
            <w:pPr>
              <w:rPr>
                <w:rFonts w:asciiTheme="minorHAnsi" w:hAnsiTheme="minorHAnsi" w:cs="Arial"/>
                <w:i/>
              </w:rPr>
            </w:pPr>
            <w:r w:rsidRPr="00D61C8E">
              <w:rPr>
                <w:rFonts w:asciiTheme="minorHAnsi" w:hAnsiTheme="minorHAnsi" w:cs="Arial"/>
                <w:i/>
              </w:rPr>
              <w:t>January, 2023</w:t>
            </w:r>
          </w:p>
        </w:tc>
      </w:tr>
      <w:tr w:rsidR="00671E91" w:rsidRPr="00D61C8E" w:rsidTr="00142C12">
        <w:tc>
          <w:tcPr>
            <w:tcW w:w="8478" w:type="dxa"/>
          </w:tcPr>
          <w:p w:rsidR="00671E91" w:rsidRPr="00D61C8E" w:rsidRDefault="00671E91" w:rsidP="009E1B6B">
            <w:pPr>
              <w:rPr>
                <w:rFonts w:asciiTheme="minorHAnsi" w:hAnsiTheme="minorHAnsi" w:cs="Arial"/>
                <w:i/>
              </w:rPr>
            </w:pPr>
            <w:r w:rsidRPr="00D61C8E">
              <w:rPr>
                <w:rFonts w:asciiTheme="minorHAnsi" w:hAnsiTheme="minorHAnsi" w:cs="Arial"/>
                <w:i/>
              </w:rPr>
              <w:t xml:space="preserve">3.  </w:t>
            </w:r>
            <w:r w:rsidR="009E1B6B">
              <w:rPr>
                <w:rFonts w:asciiTheme="minorHAnsi" w:hAnsiTheme="minorHAnsi" w:cs="Arial"/>
                <w:i/>
              </w:rPr>
              <w:t>Conduct pre/post-intervention analysis and prepare final report</w:t>
            </w:r>
          </w:p>
        </w:tc>
        <w:tc>
          <w:tcPr>
            <w:tcW w:w="1800" w:type="dxa"/>
          </w:tcPr>
          <w:p w:rsidR="00671E91" w:rsidRPr="00D61C8E" w:rsidRDefault="00671E91" w:rsidP="009E1B6B">
            <w:pPr>
              <w:rPr>
                <w:rFonts w:asciiTheme="minorHAnsi" w:hAnsiTheme="minorHAnsi" w:cs="Arial"/>
                <w:i/>
              </w:rPr>
            </w:pPr>
            <w:r w:rsidRPr="00D61C8E">
              <w:rPr>
                <w:rFonts w:asciiTheme="minorHAnsi" w:hAnsiTheme="minorHAnsi" w:cs="Arial"/>
                <w:i/>
              </w:rPr>
              <w:t>J</w:t>
            </w:r>
            <w:r w:rsidR="009E1B6B">
              <w:rPr>
                <w:rFonts w:asciiTheme="minorHAnsi" w:hAnsiTheme="minorHAnsi" w:cs="Arial"/>
                <w:i/>
              </w:rPr>
              <w:t>une</w:t>
            </w:r>
            <w:r w:rsidRPr="00D61C8E">
              <w:rPr>
                <w:rFonts w:asciiTheme="minorHAnsi" w:hAnsiTheme="minorHAnsi" w:cs="Arial"/>
                <w:i/>
              </w:rPr>
              <w:t>, 2023</w:t>
            </w:r>
          </w:p>
        </w:tc>
      </w:tr>
    </w:tbl>
    <w:p w:rsidR="00671E91" w:rsidRPr="00D61C8E" w:rsidRDefault="00671E91" w:rsidP="00671E91">
      <w:pPr>
        <w:rPr>
          <w:rFonts w:asciiTheme="minorHAnsi" w:hAnsiTheme="minorHAnsi"/>
          <w:color w:val="000000"/>
        </w:rPr>
      </w:pPr>
    </w:p>
    <w:p w:rsidR="005431D4" w:rsidRPr="00D61C8E" w:rsidRDefault="00073C96" w:rsidP="005431D4">
      <w:pPr>
        <w:tabs>
          <w:tab w:val="left" w:pos="540"/>
        </w:tabs>
        <w:autoSpaceDE w:val="0"/>
        <w:autoSpaceDN w:val="0"/>
        <w:adjustRightInd w:val="0"/>
        <w:rPr>
          <w:rFonts w:asciiTheme="minorHAnsi" w:hAnsiTheme="minorHAnsi" w:cs="Arial"/>
          <w:b/>
          <w:bCs/>
          <w:color w:val="000000"/>
        </w:rPr>
      </w:pPr>
      <w:r w:rsidRPr="00D61C8E">
        <w:rPr>
          <w:rFonts w:asciiTheme="minorHAnsi" w:hAnsiTheme="minorHAnsi" w:cs="Arial"/>
          <w:b/>
        </w:rPr>
        <w:t xml:space="preserve">III. </w:t>
      </w:r>
      <w:r w:rsidRPr="00D61C8E">
        <w:rPr>
          <w:rFonts w:asciiTheme="minorHAnsi" w:hAnsiTheme="minorHAnsi" w:cs="Arial"/>
          <w:b/>
          <w:bCs/>
          <w:color w:val="000000"/>
        </w:rPr>
        <w:t>PROJECT PARTNERS AND COLLABORATORS:</w:t>
      </w:r>
    </w:p>
    <w:p w:rsidR="0065005B" w:rsidRPr="00D61C8E" w:rsidRDefault="0065005B" w:rsidP="005431D4">
      <w:pPr>
        <w:tabs>
          <w:tab w:val="left" w:pos="540"/>
        </w:tabs>
        <w:autoSpaceDE w:val="0"/>
        <w:autoSpaceDN w:val="0"/>
        <w:adjustRightInd w:val="0"/>
        <w:rPr>
          <w:rFonts w:asciiTheme="minorHAnsi" w:hAnsiTheme="minorHAnsi" w:cs="Arial"/>
          <w:bCs/>
          <w:color w:val="000000"/>
        </w:rPr>
      </w:pPr>
      <w:r w:rsidRPr="00D61C8E">
        <w:rPr>
          <w:rFonts w:asciiTheme="minorHAnsi" w:hAnsiTheme="minorHAnsi" w:cs="Arial"/>
          <w:bCs/>
          <w:color w:val="000000"/>
        </w:rPr>
        <w:t>Mae A. Davenport, University of Minnesota (Project Team, Co-PI)</w:t>
      </w:r>
    </w:p>
    <w:p w:rsidR="001A1499" w:rsidRPr="00D61C8E" w:rsidRDefault="001A1499" w:rsidP="005431D4">
      <w:pPr>
        <w:tabs>
          <w:tab w:val="left" w:pos="540"/>
        </w:tabs>
        <w:autoSpaceDE w:val="0"/>
        <w:autoSpaceDN w:val="0"/>
        <w:adjustRightInd w:val="0"/>
        <w:rPr>
          <w:rFonts w:asciiTheme="minorHAnsi" w:hAnsiTheme="minorHAnsi" w:cs="Arial"/>
          <w:bCs/>
          <w:color w:val="000000"/>
        </w:rPr>
      </w:pPr>
      <w:r w:rsidRPr="00D61C8E">
        <w:rPr>
          <w:rFonts w:asciiTheme="minorHAnsi" w:hAnsiTheme="minorHAnsi" w:cs="Arial"/>
          <w:bCs/>
          <w:color w:val="000000"/>
        </w:rPr>
        <w:t>Jeffrey Broberg, Minnesota Well Owners Organization</w:t>
      </w:r>
      <w:r w:rsidR="009A7A8D">
        <w:rPr>
          <w:rFonts w:asciiTheme="minorHAnsi" w:hAnsiTheme="minorHAnsi" w:cs="Arial"/>
          <w:bCs/>
          <w:color w:val="000000"/>
        </w:rPr>
        <w:t xml:space="preserve"> (Collaborator)</w:t>
      </w:r>
    </w:p>
    <w:p w:rsidR="001A1499" w:rsidRPr="00D61C8E" w:rsidRDefault="001A1499" w:rsidP="005431D4">
      <w:pPr>
        <w:tabs>
          <w:tab w:val="left" w:pos="540"/>
        </w:tabs>
        <w:autoSpaceDE w:val="0"/>
        <w:autoSpaceDN w:val="0"/>
        <w:adjustRightInd w:val="0"/>
        <w:rPr>
          <w:rFonts w:asciiTheme="minorHAnsi" w:hAnsiTheme="minorHAnsi" w:cs="Arial"/>
          <w:bCs/>
          <w:color w:val="000000"/>
        </w:rPr>
      </w:pPr>
      <w:r w:rsidRPr="00D61C8E">
        <w:rPr>
          <w:rFonts w:asciiTheme="minorHAnsi" w:hAnsiTheme="minorHAnsi" w:cs="Arial"/>
          <w:bCs/>
          <w:color w:val="000000"/>
        </w:rPr>
        <w:t>Sharon Pfeifer, Minnesota Department of Natural Resources</w:t>
      </w:r>
      <w:r w:rsidR="009A7A8D">
        <w:rPr>
          <w:rFonts w:asciiTheme="minorHAnsi" w:hAnsiTheme="minorHAnsi" w:cs="Arial"/>
          <w:bCs/>
          <w:color w:val="000000"/>
        </w:rPr>
        <w:t xml:space="preserve"> (Collaborator)</w:t>
      </w:r>
    </w:p>
    <w:p w:rsidR="005431D4" w:rsidRPr="00D61C8E" w:rsidRDefault="005431D4" w:rsidP="006E0EFD">
      <w:pPr>
        <w:rPr>
          <w:rFonts w:asciiTheme="minorHAnsi" w:hAnsiTheme="minorHAnsi" w:cs="Arial"/>
          <w:b/>
        </w:rPr>
      </w:pPr>
    </w:p>
    <w:p w:rsidR="005431D4" w:rsidRPr="00D61C8E" w:rsidRDefault="005431D4" w:rsidP="005431D4">
      <w:pPr>
        <w:tabs>
          <w:tab w:val="left" w:pos="540"/>
        </w:tabs>
        <w:autoSpaceDE w:val="0"/>
        <w:autoSpaceDN w:val="0"/>
        <w:adjustRightInd w:val="0"/>
        <w:rPr>
          <w:rFonts w:asciiTheme="minorHAnsi" w:hAnsiTheme="minorHAnsi" w:cs="Arial"/>
          <w:b/>
          <w:bCs/>
          <w:color w:val="000000"/>
        </w:rPr>
      </w:pPr>
      <w:r w:rsidRPr="00D61C8E">
        <w:rPr>
          <w:rFonts w:asciiTheme="minorHAnsi" w:hAnsiTheme="minorHAnsi" w:cs="Arial"/>
          <w:b/>
          <w:bCs/>
          <w:color w:val="000000"/>
        </w:rPr>
        <w:t xml:space="preserve">IV. </w:t>
      </w:r>
      <w:r w:rsidRPr="00D61C8E">
        <w:rPr>
          <w:rFonts w:asciiTheme="minorHAnsi" w:hAnsiTheme="minorHAnsi" w:cs="Arial"/>
          <w:b/>
          <w:bCs/>
          <w:color w:val="000000"/>
        </w:rPr>
        <w:tab/>
      </w:r>
      <w:r w:rsidR="00AB6CFF" w:rsidRPr="00D61C8E">
        <w:rPr>
          <w:rFonts w:asciiTheme="minorHAnsi" w:hAnsiTheme="minorHAnsi" w:cs="Arial"/>
          <w:b/>
          <w:bCs/>
          <w:color w:val="000000"/>
        </w:rPr>
        <w:t>LONG-TERM</w:t>
      </w:r>
      <w:r w:rsidRPr="00D61C8E">
        <w:rPr>
          <w:rFonts w:asciiTheme="minorHAnsi" w:hAnsiTheme="minorHAnsi" w:cs="Arial"/>
          <w:b/>
          <w:bCs/>
          <w:color w:val="000000"/>
        </w:rPr>
        <w:t xml:space="preserve"> IMPLEMENTATION AND FUNDING:</w:t>
      </w:r>
    </w:p>
    <w:p w:rsidR="006E0EFD" w:rsidRPr="005E70AA" w:rsidRDefault="007F439D" w:rsidP="006E0EFD">
      <w:pPr>
        <w:rPr>
          <w:rFonts w:asciiTheme="minorHAnsi" w:hAnsiTheme="minorHAnsi" w:cs="Arial"/>
          <w:b/>
          <w:bCs/>
          <w:color w:val="000000"/>
        </w:rPr>
      </w:pPr>
      <w:r w:rsidRPr="00D61C8E">
        <w:rPr>
          <w:rFonts w:asciiTheme="minorHAnsi" w:hAnsiTheme="minorHAnsi"/>
          <w:color w:val="000000"/>
        </w:rPr>
        <w:t>Project findings will have broad relevance for natural resource professionals, policymakers, and planners who work in the area of groundwater management. In particular, it will inform statewide and community-specific community engagement initiatives. Project findings and reports will be made available on an open access platform. Project findings will also be shared with stakeholders through an outreach workshop. We also anticipate producing peer-reviewed publications in high quality journals.</w:t>
      </w:r>
      <w:r w:rsidR="009A7A8D">
        <w:rPr>
          <w:rFonts w:asciiTheme="minorHAnsi" w:hAnsiTheme="minorHAnsi"/>
          <w:color w:val="000000"/>
        </w:rPr>
        <w:t xml:space="preserve"> </w:t>
      </w:r>
    </w:p>
    <w:sectPr w:rsidR="006E0EFD" w:rsidRPr="005E70AA"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248" w:rsidRDefault="007F2248" w:rsidP="00533120">
      <w:r>
        <w:separator/>
      </w:r>
    </w:p>
  </w:endnote>
  <w:endnote w:type="continuationSeparator" w:id="0">
    <w:p w:rsidR="007F2248" w:rsidRDefault="007F224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61212C">
      <w:rPr>
        <w:noProof/>
      </w:rPr>
      <w:t>2</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248" w:rsidRDefault="007F2248" w:rsidP="00533120">
      <w:r>
        <w:separator/>
      </w:r>
    </w:p>
  </w:footnote>
  <w:footnote w:type="continuationSeparator" w:id="0">
    <w:p w:rsidR="007F2248" w:rsidRDefault="007F2248"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B23"/>
    <w:multiLevelType w:val="hybridMultilevel"/>
    <w:tmpl w:val="31027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3"/>
  </w:num>
  <w:num w:numId="7">
    <w:abstractNumId w:val="7"/>
  </w:num>
  <w:num w:numId="8">
    <w:abstractNumId w:val="4"/>
  </w:num>
  <w:num w:numId="9">
    <w:abstractNumId w:val="10"/>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40A75"/>
    <w:rsid w:val="00061EF5"/>
    <w:rsid w:val="00062497"/>
    <w:rsid w:val="00065366"/>
    <w:rsid w:val="00073C96"/>
    <w:rsid w:val="0008614F"/>
    <w:rsid w:val="00093696"/>
    <w:rsid w:val="000B34BA"/>
    <w:rsid w:val="000C3EF3"/>
    <w:rsid w:val="000D7F31"/>
    <w:rsid w:val="000E3D1B"/>
    <w:rsid w:val="00100A34"/>
    <w:rsid w:val="00103051"/>
    <w:rsid w:val="00107495"/>
    <w:rsid w:val="001205C5"/>
    <w:rsid w:val="001225BC"/>
    <w:rsid w:val="00165716"/>
    <w:rsid w:val="0018005E"/>
    <w:rsid w:val="00186FCC"/>
    <w:rsid w:val="001A1499"/>
    <w:rsid w:val="001B0368"/>
    <w:rsid w:val="001E42AC"/>
    <w:rsid w:val="002159DD"/>
    <w:rsid w:val="00217C2A"/>
    <w:rsid w:val="00252804"/>
    <w:rsid w:val="00290E4E"/>
    <w:rsid w:val="0029726A"/>
    <w:rsid w:val="002B469A"/>
    <w:rsid w:val="002C7326"/>
    <w:rsid w:val="003205A7"/>
    <w:rsid w:val="003239FE"/>
    <w:rsid w:val="00347E7A"/>
    <w:rsid w:val="00351EA6"/>
    <w:rsid w:val="00354888"/>
    <w:rsid w:val="003578A0"/>
    <w:rsid w:val="0036380E"/>
    <w:rsid w:val="0037310D"/>
    <w:rsid w:val="0039481E"/>
    <w:rsid w:val="003F32CA"/>
    <w:rsid w:val="00404B9C"/>
    <w:rsid w:val="00430C20"/>
    <w:rsid w:val="004357AE"/>
    <w:rsid w:val="0044590B"/>
    <w:rsid w:val="004530F7"/>
    <w:rsid w:val="00454495"/>
    <w:rsid w:val="00487D08"/>
    <w:rsid w:val="00490220"/>
    <w:rsid w:val="0049103C"/>
    <w:rsid w:val="004A43B9"/>
    <w:rsid w:val="004A4BE4"/>
    <w:rsid w:val="004E6113"/>
    <w:rsid w:val="00533120"/>
    <w:rsid w:val="005431D4"/>
    <w:rsid w:val="00546728"/>
    <w:rsid w:val="00550B29"/>
    <w:rsid w:val="005648A9"/>
    <w:rsid w:val="005655AA"/>
    <w:rsid w:val="00574FE0"/>
    <w:rsid w:val="005A1D00"/>
    <w:rsid w:val="005A4FB1"/>
    <w:rsid w:val="005E1859"/>
    <w:rsid w:val="005E70AA"/>
    <w:rsid w:val="005F0DBA"/>
    <w:rsid w:val="005F1006"/>
    <w:rsid w:val="005F7237"/>
    <w:rsid w:val="00602068"/>
    <w:rsid w:val="0061212C"/>
    <w:rsid w:val="00614DF2"/>
    <w:rsid w:val="00640A9A"/>
    <w:rsid w:val="0065005B"/>
    <w:rsid w:val="006562F0"/>
    <w:rsid w:val="00671C18"/>
    <w:rsid w:val="00671E91"/>
    <w:rsid w:val="0067484E"/>
    <w:rsid w:val="00686B53"/>
    <w:rsid w:val="006A6031"/>
    <w:rsid w:val="006C42BE"/>
    <w:rsid w:val="006C6814"/>
    <w:rsid w:val="006E0EFD"/>
    <w:rsid w:val="006F7F24"/>
    <w:rsid w:val="00721661"/>
    <w:rsid w:val="00731A65"/>
    <w:rsid w:val="00743015"/>
    <w:rsid w:val="007936A9"/>
    <w:rsid w:val="007B284F"/>
    <w:rsid w:val="007B3535"/>
    <w:rsid w:val="007B7E1A"/>
    <w:rsid w:val="007F2248"/>
    <w:rsid w:val="007F439D"/>
    <w:rsid w:val="00806460"/>
    <w:rsid w:val="008076FB"/>
    <w:rsid w:val="008949EE"/>
    <w:rsid w:val="008A088E"/>
    <w:rsid w:val="008A4498"/>
    <w:rsid w:val="008A5FD9"/>
    <w:rsid w:val="008C0222"/>
    <w:rsid w:val="008D2242"/>
    <w:rsid w:val="009057BF"/>
    <w:rsid w:val="00910DB8"/>
    <w:rsid w:val="00912C65"/>
    <w:rsid w:val="00926B2F"/>
    <w:rsid w:val="009541C4"/>
    <w:rsid w:val="0096160F"/>
    <w:rsid w:val="009666C6"/>
    <w:rsid w:val="00996C84"/>
    <w:rsid w:val="009A49DE"/>
    <w:rsid w:val="009A7A8D"/>
    <w:rsid w:val="009B6749"/>
    <w:rsid w:val="009C4875"/>
    <w:rsid w:val="009D0377"/>
    <w:rsid w:val="009D0E57"/>
    <w:rsid w:val="009D14B4"/>
    <w:rsid w:val="009D6EC8"/>
    <w:rsid w:val="009E0142"/>
    <w:rsid w:val="009E1B6B"/>
    <w:rsid w:val="009F0761"/>
    <w:rsid w:val="00A03E0A"/>
    <w:rsid w:val="00A075D5"/>
    <w:rsid w:val="00A13F26"/>
    <w:rsid w:val="00A42E60"/>
    <w:rsid w:val="00A4354D"/>
    <w:rsid w:val="00A45A41"/>
    <w:rsid w:val="00A5339F"/>
    <w:rsid w:val="00A7257F"/>
    <w:rsid w:val="00A73B75"/>
    <w:rsid w:val="00AB6CFF"/>
    <w:rsid w:val="00AC2C07"/>
    <w:rsid w:val="00AC2CDE"/>
    <w:rsid w:val="00AD3337"/>
    <w:rsid w:val="00AE5395"/>
    <w:rsid w:val="00B647DF"/>
    <w:rsid w:val="00B728BF"/>
    <w:rsid w:val="00B8369A"/>
    <w:rsid w:val="00B86A22"/>
    <w:rsid w:val="00BC28A6"/>
    <w:rsid w:val="00BF6CEE"/>
    <w:rsid w:val="00C02DAD"/>
    <w:rsid w:val="00C47AEC"/>
    <w:rsid w:val="00C51369"/>
    <w:rsid w:val="00C660F0"/>
    <w:rsid w:val="00C72BD9"/>
    <w:rsid w:val="00C811FC"/>
    <w:rsid w:val="00C82CD3"/>
    <w:rsid w:val="00C85E92"/>
    <w:rsid w:val="00C952E4"/>
    <w:rsid w:val="00CA16B4"/>
    <w:rsid w:val="00CB652D"/>
    <w:rsid w:val="00CC0FCF"/>
    <w:rsid w:val="00CD76BC"/>
    <w:rsid w:val="00CE20AC"/>
    <w:rsid w:val="00D02E23"/>
    <w:rsid w:val="00D121DD"/>
    <w:rsid w:val="00D25619"/>
    <w:rsid w:val="00D32CFB"/>
    <w:rsid w:val="00D50247"/>
    <w:rsid w:val="00D61C8E"/>
    <w:rsid w:val="00E27636"/>
    <w:rsid w:val="00E36CCF"/>
    <w:rsid w:val="00E47145"/>
    <w:rsid w:val="00E5279E"/>
    <w:rsid w:val="00E60C7E"/>
    <w:rsid w:val="00E619C4"/>
    <w:rsid w:val="00E76D57"/>
    <w:rsid w:val="00EB5831"/>
    <w:rsid w:val="00EE1DD0"/>
    <w:rsid w:val="00F1351A"/>
    <w:rsid w:val="00F42507"/>
    <w:rsid w:val="00F6178A"/>
    <w:rsid w:val="00F70DE4"/>
    <w:rsid w:val="00F9232B"/>
    <w:rsid w:val="00F92864"/>
    <w:rsid w:val="00F96203"/>
    <w:rsid w:val="00F97C94"/>
    <w:rsid w:val="00FC2BAB"/>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B61F0"/>
  <w15:docId w15:val="{257FC708-40B1-47F4-8337-34FE63E6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5655AA"/>
    <w:rPr>
      <w:sz w:val="16"/>
      <w:szCs w:val="16"/>
    </w:rPr>
  </w:style>
  <w:style w:type="paragraph" w:styleId="CommentText">
    <w:name w:val="annotation text"/>
    <w:basedOn w:val="Normal"/>
    <w:link w:val="CommentTextChar"/>
    <w:uiPriority w:val="99"/>
    <w:semiHidden/>
    <w:unhideWhenUsed/>
    <w:rsid w:val="005655AA"/>
    <w:rPr>
      <w:sz w:val="20"/>
      <w:szCs w:val="20"/>
    </w:rPr>
  </w:style>
  <w:style w:type="character" w:customStyle="1" w:styleId="CommentTextChar">
    <w:name w:val="Comment Text Char"/>
    <w:basedOn w:val="DefaultParagraphFont"/>
    <w:link w:val="CommentText"/>
    <w:uiPriority w:val="99"/>
    <w:semiHidden/>
    <w:rsid w:val="005655AA"/>
  </w:style>
  <w:style w:type="paragraph" w:styleId="CommentSubject">
    <w:name w:val="annotation subject"/>
    <w:basedOn w:val="CommentText"/>
    <w:next w:val="CommentText"/>
    <w:link w:val="CommentSubjectChar"/>
    <w:uiPriority w:val="99"/>
    <w:semiHidden/>
    <w:unhideWhenUsed/>
    <w:rsid w:val="005655AA"/>
    <w:rPr>
      <w:b/>
      <w:bCs/>
    </w:rPr>
  </w:style>
  <w:style w:type="character" w:customStyle="1" w:styleId="CommentSubjectChar">
    <w:name w:val="Comment Subject Char"/>
    <w:basedOn w:val="CommentTextChar"/>
    <w:link w:val="CommentSubject"/>
    <w:uiPriority w:val="99"/>
    <w:semiHidden/>
    <w:rsid w:val="005655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Reviewer</cp:lastModifiedBy>
  <cp:revision>4</cp:revision>
  <cp:lastPrinted>2018-11-29T16:36:00Z</cp:lastPrinted>
  <dcterms:created xsi:type="dcterms:W3CDTF">2019-04-15T18:33:00Z</dcterms:created>
  <dcterms:modified xsi:type="dcterms:W3CDTF">2019-04-15T20:20:00Z</dcterms:modified>
</cp:coreProperties>
</file>