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2152D0">
        <w:rPr>
          <w:rFonts w:cs="Arial"/>
          <w:b/>
        </w:rPr>
        <w:t xml:space="preserve">  </w:t>
      </w:r>
      <w:r w:rsidR="002152D0">
        <w:rPr>
          <w:i/>
        </w:rPr>
        <w:t>Groundwater Microbiology Phase 2: Private Wells</w:t>
      </w:r>
    </w:p>
    <w:p w:rsidR="006E0EFD" w:rsidRPr="00E30687" w:rsidRDefault="006E0EFD" w:rsidP="006E0EFD">
      <w:pPr>
        <w:rPr>
          <w:rFonts w:cs="Arial"/>
          <w:sz w:val="18"/>
          <w:szCs w:val="18"/>
        </w:rPr>
      </w:pPr>
    </w:p>
    <w:p w:rsidR="006E0EFD" w:rsidRPr="009D6EC8" w:rsidRDefault="006E0EFD" w:rsidP="006E0EFD">
      <w:pPr>
        <w:rPr>
          <w:rFonts w:cs="Arial"/>
        </w:rPr>
      </w:pPr>
      <w:r w:rsidRPr="009D6EC8">
        <w:rPr>
          <w:rFonts w:cs="Arial"/>
          <w:b/>
        </w:rPr>
        <w:t>I. PROJECT STATEMENT</w:t>
      </w:r>
    </w:p>
    <w:p w:rsidR="002152D0" w:rsidRDefault="002152D0" w:rsidP="005641C1">
      <w:pPr>
        <w:ind w:firstLine="720"/>
      </w:pPr>
      <w:r>
        <w:t xml:space="preserve">This project will investigate </w:t>
      </w:r>
      <w:r w:rsidR="00375F15">
        <w:t>private groundwater wells for micro</w:t>
      </w:r>
      <w:r w:rsidR="005641C1">
        <w:t xml:space="preserve">organisms known to make people sick. </w:t>
      </w:r>
      <w:r>
        <w:t xml:space="preserve">Recent alarming reports out of Wisconsin have shown that many private drinking water wells are contaminated with pathogenic microorganisms, nitrate (from fertilizer use), or both. For example, 42% of private wells sampled in 3 Southwestern WI counties were contaminated with fecal coliform bacteria and/or nitrate. The source of the fecal contamination is likely both septic systems and agricultural operations (e.g., cattle and dairy farms). The Karst-type geology that is prevalent in SW WI is also found in SE Minnesota, suggesting that similar contamination is also likely in our state. This is particularly concerning because more than 1 million Minnesotans use private wells as their primary source of residential water. </w:t>
      </w:r>
      <w:r w:rsidR="0064538C" w:rsidRPr="00935220">
        <w:t>The proposed study</w:t>
      </w:r>
      <w:r w:rsidR="0064538C">
        <w:t xml:space="preserve"> </w:t>
      </w:r>
      <w:r w:rsidR="0064538C" w:rsidRPr="00935220">
        <w:t xml:space="preserve">will generate critically important knowledge on the microbiological quality of </w:t>
      </w:r>
      <w:r w:rsidR="0064538C">
        <w:t>private</w:t>
      </w:r>
      <w:r w:rsidR="0064538C" w:rsidRPr="00935220">
        <w:t xml:space="preserve"> </w:t>
      </w:r>
      <w:r w:rsidR="0064538C">
        <w:t>wells</w:t>
      </w:r>
      <w:r w:rsidR="00556A0B">
        <w:t xml:space="preserve"> throughout Minnesota</w:t>
      </w:r>
      <w:r w:rsidR="0064538C">
        <w:t>, identify risk factors, and provide sound guidance for protecting public health</w:t>
      </w:r>
      <w:r w:rsidR="0064538C" w:rsidRPr="00935220">
        <w:t>.</w:t>
      </w:r>
    </w:p>
    <w:p w:rsidR="002152D0" w:rsidRDefault="002152D0" w:rsidP="002152D0">
      <w:pPr>
        <w:ind w:firstLine="720"/>
        <w:rPr>
          <w:rFonts w:asciiTheme="minorHAnsi" w:hAnsiTheme="minorHAnsi"/>
        </w:rPr>
      </w:pPr>
      <w:r>
        <w:t xml:space="preserve">In a nearly completed LCCMR project, we quantified a variety of </w:t>
      </w:r>
      <w:r w:rsidR="00C65A8D">
        <w:t xml:space="preserve">mostly </w:t>
      </w:r>
      <w:r>
        <w:t xml:space="preserve">bacterial pathogens in 16 public groundwater systems throughout MN.  </w:t>
      </w:r>
      <w:r>
        <w:rPr>
          <w:rFonts w:asciiTheme="minorHAnsi" w:hAnsiTheme="minorHAnsi"/>
        </w:rPr>
        <w:t>The</w:t>
      </w:r>
      <w:r w:rsidRPr="00FE5EE0">
        <w:rPr>
          <w:rFonts w:asciiTheme="minorHAnsi" w:hAnsiTheme="minorHAnsi"/>
        </w:rPr>
        <w:t xml:space="preserve"> results from this study s</w:t>
      </w:r>
      <w:r>
        <w:rPr>
          <w:rFonts w:asciiTheme="minorHAnsi" w:hAnsiTheme="minorHAnsi"/>
        </w:rPr>
        <w:t xml:space="preserve">howed </w:t>
      </w:r>
      <w:r w:rsidRPr="00FE5EE0">
        <w:rPr>
          <w:rFonts w:asciiTheme="minorHAnsi" w:hAnsiTheme="minorHAnsi"/>
        </w:rPr>
        <w:t>that groundwaters supplying public water systems in M</w:t>
      </w:r>
      <w:r>
        <w:rPr>
          <w:rFonts w:asciiTheme="minorHAnsi" w:hAnsiTheme="minorHAnsi"/>
        </w:rPr>
        <w:t>N</w:t>
      </w:r>
      <w:r w:rsidRPr="00FE5EE0">
        <w:rPr>
          <w:rFonts w:asciiTheme="minorHAnsi" w:hAnsiTheme="minorHAnsi"/>
        </w:rPr>
        <w:t xml:space="preserve"> are largely free of enteric pathogens </w:t>
      </w:r>
      <w:r>
        <w:rPr>
          <w:rFonts w:asciiTheme="minorHAnsi" w:hAnsiTheme="minorHAnsi"/>
        </w:rPr>
        <w:t>(i.e., pathogens associated with human or animal fecal material that cause gastrointestin</w:t>
      </w:r>
      <w:r w:rsidR="00026995">
        <w:rPr>
          <w:rFonts w:asciiTheme="minorHAnsi" w:hAnsiTheme="minorHAnsi"/>
        </w:rPr>
        <w:t>al issues after being ingested)</w:t>
      </w:r>
      <w:r w:rsidRPr="00FE5EE0">
        <w:rPr>
          <w:rFonts w:asciiTheme="minorHAnsi" w:hAnsiTheme="minorHAnsi"/>
        </w:rPr>
        <w:t>.</w:t>
      </w:r>
      <w:r>
        <w:rPr>
          <w:rFonts w:asciiTheme="minorHAnsi" w:hAnsiTheme="minorHAnsi"/>
        </w:rPr>
        <w:t xml:space="preserve"> While these results are comforting, they are likely not indicative of the thousands of private wells throughout MN. Private wells are often shallower than public supply wells and </w:t>
      </w:r>
      <w:r w:rsidR="00026995">
        <w:rPr>
          <w:rFonts w:asciiTheme="minorHAnsi" w:hAnsiTheme="minorHAnsi"/>
        </w:rPr>
        <w:t xml:space="preserve">private wells </w:t>
      </w:r>
      <w:r>
        <w:rPr>
          <w:rFonts w:asciiTheme="minorHAnsi" w:hAnsiTheme="minorHAnsi"/>
        </w:rPr>
        <w:t xml:space="preserve">are </w:t>
      </w:r>
      <w:r w:rsidR="00026995">
        <w:rPr>
          <w:rFonts w:asciiTheme="minorHAnsi" w:hAnsiTheme="minorHAnsi"/>
        </w:rPr>
        <w:t>rarely tested for pathogens</w:t>
      </w:r>
      <w:r>
        <w:rPr>
          <w:rFonts w:asciiTheme="minorHAnsi" w:hAnsiTheme="minorHAnsi"/>
        </w:rPr>
        <w:t>. Our LCCMR research showed</w:t>
      </w:r>
      <w:r w:rsidRPr="00FC5BF0">
        <w:rPr>
          <w:rFonts w:asciiTheme="minorHAnsi" w:hAnsiTheme="minorHAnsi"/>
        </w:rPr>
        <w:t xml:space="preserve"> that total bacteria concentrations </w:t>
      </w:r>
      <w:r w:rsidR="005047DA">
        <w:rPr>
          <w:rFonts w:asciiTheme="minorHAnsi" w:hAnsiTheme="minorHAnsi"/>
        </w:rPr>
        <w:t>tended to be</w:t>
      </w:r>
      <w:r w:rsidR="005047DA" w:rsidRPr="00FC5BF0">
        <w:rPr>
          <w:rFonts w:asciiTheme="minorHAnsi" w:hAnsiTheme="minorHAnsi"/>
        </w:rPr>
        <w:t xml:space="preserve"> </w:t>
      </w:r>
      <w:r w:rsidRPr="00FC5BF0">
        <w:rPr>
          <w:rFonts w:asciiTheme="minorHAnsi" w:hAnsiTheme="minorHAnsi"/>
        </w:rPr>
        <w:t xml:space="preserve">lower </w:t>
      </w:r>
      <w:r w:rsidR="005047DA">
        <w:rPr>
          <w:rFonts w:asciiTheme="minorHAnsi" w:hAnsiTheme="minorHAnsi"/>
        </w:rPr>
        <w:t xml:space="preserve">in </w:t>
      </w:r>
      <w:r w:rsidR="005047DA" w:rsidRPr="00FC5BF0">
        <w:rPr>
          <w:rFonts w:asciiTheme="minorHAnsi" w:hAnsiTheme="minorHAnsi"/>
        </w:rPr>
        <w:t>older water</w:t>
      </w:r>
      <w:r w:rsidR="005047DA">
        <w:rPr>
          <w:rFonts w:asciiTheme="minorHAnsi" w:hAnsiTheme="minorHAnsi"/>
        </w:rPr>
        <w:t xml:space="preserve"> obtained from</w:t>
      </w:r>
      <w:r w:rsidRPr="00FC5BF0">
        <w:rPr>
          <w:rFonts w:asciiTheme="minorHAnsi" w:hAnsiTheme="minorHAnsi"/>
        </w:rPr>
        <w:t xml:space="preserve"> deeper wells and greater in </w:t>
      </w:r>
      <w:r w:rsidR="005047DA" w:rsidRPr="00FC5BF0">
        <w:rPr>
          <w:rFonts w:asciiTheme="minorHAnsi" w:hAnsiTheme="minorHAnsi"/>
        </w:rPr>
        <w:t>younger water</w:t>
      </w:r>
      <w:r w:rsidR="005047DA">
        <w:rPr>
          <w:rFonts w:asciiTheme="minorHAnsi" w:hAnsiTheme="minorHAnsi"/>
        </w:rPr>
        <w:t xml:space="preserve"> obtained from </w:t>
      </w:r>
      <w:r w:rsidRPr="00FC5BF0">
        <w:rPr>
          <w:rFonts w:asciiTheme="minorHAnsi" w:hAnsiTheme="minorHAnsi"/>
        </w:rPr>
        <w:t xml:space="preserve">shallower wells. </w:t>
      </w:r>
      <w:r w:rsidR="0064538C">
        <w:rPr>
          <w:rFonts w:asciiTheme="minorHAnsi" w:hAnsiTheme="minorHAnsi"/>
        </w:rPr>
        <w:t xml:space="preserve">This </w:t>
      </w:r>
      <w:r w:rsidR="00026995">
        <w:rPr>
          <w:rFonts w:asciiTheme="minorHAnsi" w:hAnsiTheme="minorHAnsi"/>
        </w:rPr>
        <w:t xml:space="preserve">result along with the WI study </w:t>
      </w:r>
      <w:r w:rsidR="0064538C">
        <w:rPr>
          <w:rFonts w:asciiTheme="minorHAnsi" w:hAnsiTheme="minorHAnsi"/>
        </w:rPr>
        <w:t xml:space="preserve">suggests that </w:t>
      </w:r>
      <w:r w:rsidR="00026995">
        <w:rPr>
          <w:rFonts w:asciiTheme="minorHAnsi" w:hAnsiTheme="minorHAnsi"/>
        </w:rPr>
        <w:t xml:space="preserve">many </w:t>
      </w:r>
      <w:r>
        <w:rPr>
          <w:rFonts w:asciiTheme="minorHAnsi" w:hAnsiTheme="minorHAnsi"/>
        </w:rPr>
        <w:t>Minnesotans</w:t>
      </w:r>
      <w:r w:rsidR="005047DA">
        <w:rPr>
          <w:rFonts w:asciiTheme="minorHAnsi" w:hAnsiTheme="minorHAnsi"/>
        </w:rPr>
        <w:t xml:space="preserve"> – i.e., those who </w:t>
      </w:r>
      <w:r w:rsidR="00026995">
        <w:rPr>
          <w:rFonts w:asciiTheme="minorHAnsi" w:hAnsiTheme="minorHAnsi"/>
        </w:rPr>
        <w:t xml:space="preserve">directly </w:t>
      </w:r>
      <w:r w:rsidR="0064538C">
        <w:rPr>
          <w:rFonts w:asciiTheme="minorHAnsi" w:hAnsiTheme="minorHAnsi"/>
        </w:rPr>
        <w:t xml:space="preserve">consume water </w:t>
      </w:r>
      <w:r w:rsidR="005047DA">
        <w:rPr>
          <w:rFonts w:asciiTheme="minorHAnsi" w:hAnsiTheme="minorHAnsi"/>
        </w:rPr>
        <w:t xml:space="preserve">(i.e., without any treatment) </w:t>
      </w:r>
      <w:r w:rsidR="0064538C">
        <w:rPr>
          <w:rFonts w:asciiTheme="minorHAnsi" w:hAnsiTheme="minorHAnsi"/>
        </w:rPr>
        <w:t xml:space="preserve">from </w:t>
      </w:r>
      <w:r w:rsidR="005047DA">
        <w:rPr>
          <w:rFonts w:asciiTheme="minorHAnsi" w:hAnsiTheme="minorHAnsi"/>
        </w:rPr>
        <w:t xml:space="preserve">relatively shallow </w:t>
      </w:r>
      <w:r w:rsidR="0064538C">
        <w:rPr>
          <w:rFonts w:asciiTheme="minorHAnsi" w:hAnsiTheme="minorHAnsi"/>
        </w:rPr>
        <w:t>private</w:t>
      </w:r>
      <w:r>
        <w:rPr>
          <w:rFonts w:asciiTheme="minorHAnsi" w:hAnsiTheme="minorHAnsi"/>
        </w:rPr>
        <w:t xml:space="preserve"> well</w:t>
      </w:r>
      <w:r w:rsidR="0064538C">
        <w:rPr>
          <w:rFonts w:asciiTheme="minorHAnsi" w:hAnsiTheme="minorHAnsi"/>
        </w:rPr>
        <w:t>s</w:t>
      </w:r>
      <w:r w:rsidR="005047DA">
        <w:rPr>
          <w:rFonts w:asciiTheme="minorHAnsi" w:hAnsiTheme="minorHAnsi"/>
        </w:rPr>
        <w:t xml:space="preserve">- </w:t>
      </w:r>
      <w:r w:rsidR="0064538C">
        <w:rPr>
          <w:rFonts w:asciiTheme="minorHAnsi" w:hAnsiTheme="minorHAnsi"/>
        </w:rPr>
        <w:t>could be at risk of exposure to pathogens</w:t>
      </w:r>
      <w:r>
        <w:rPr>
          <w:rFonts w:asciiTheme="minorHAnsi" w:hAnsiTheme="minorHAnsi"/>
        </w:rPr>
        <w:t>.</w:t>
      </w:r>
    </w:p>
    <w:p w:rsidR="002152D0" w:rsidRDefault="002152D0" w:rsidP="002152D0">
      <w:pPr>
        <w:ind w:firstLine="720"/>
      </w:pPr>
      <w:r>
        <w:t xml:space="preserve">The proposed research will inform the extent of this potential pathogen </w:t>
      </w:r>
      <w:r w:rsidR="00AC6427">
        <w:t>and nitrate</w:t>
      </w:r>
      <w:bookmarkStart w:id="0" w:name="_GoBack"/>
      <w:bookmarkEnd w:id="0"/>
      <w:r w:rsidR="00AC6427">
        <w:t xml:space="preserve"> </w:t>
      </w:r>
      <w:r>
        <w:t>exposure problem by characterizing and quantifying all of the bacteria</w:t>
      </w:r>
      <w:r w:rsidR="00E30687">
        <w:t>, some viruses,</w:t>
      </w:r>
      <w:r>
        <w:t xml:space="preserve"> </w:t>
      </w:r>
      <w:r w:rsidR="00CA08FE">
        <w:t xml:space="preserve">and nitrate </w:t>
      </w:r>
      <w:r>
        <w:t xml:space="preserve">in water from private wells, including the direct quantification of many known disease-causing organisms. We predict that water from private wells in Minnesota will more frequently contain unsafe levels of pathogens </w:t>
      </w:r>
      <w:r w:rsidR="00CA08FE">
        <w:t xml:space="preserve">and nitrate </w:t>
      </w:r>
      <w:r>
        <w:t xml:space="preserve">than water from public supply wells, especially in areas in SE MN where Karst geology and impacts from agriculture and septic systems overlap.  Our secondary hypothesis is that the enteric pathogen levels in water from private wells will correlate with chemical </w:t>
      </w:r>
      <w:r w:rsidR="000A658E">
        <w:t>indicators</w:t>
      </w:r>
      <w:r>
        <w:t xml:space="preserve"> of </w:t>
      </w:r>
      <w:r w:rsidR="000A658E">
        <w:t>ground</w:t>
      </w:r>
      <w:r>
        <w:t>water quality, such as nitrate</w:t>
      </w:r>
      <w:r w:rsidR="00967087">
        <w:t xml:space="preserve"> and </w:t>
      </w:r>
      <w:r>
        <w:t>tritium. The specific goals are to:</w:t>
      </w:r>
    </w:p>
    <w:p w:rsidR="002152D0" w:rsidRDefault="002152D0" w:rsidP="005641C1">
      <w:pPr>
        <w:ind w:firstLine="720"/>
      </w:pPr>
      <w:r>
        <w:t>1. Quantify and characterize the microorganisms in water from private wells around the state</w:t>
      </w:r>
    </w:p>
    <w:p w:rsidR="002152D0" w:rsidRDefault="002152D0" w:rsidP="005641C1">
      <w:pPr>
        <w:ind w:left="1260" w:hanging="540"/>
      </w:pPr>
      <w:r>
        <w:t>2. Attempt to link the microbiological data to conventional or chemical water quality indicators, including nitrate</w:t>
      </w:r>
      <w:r w:rsidR="00ED01C6">
        <w:t xml:space="preserve"> and</w:t>
      </w:r>
      <w:r>
        <w:t xml:space="preserve"> tritium</w:t>
      </w:r>
      <w:r w:rsidR="00ED01C6">
        <w:t>,</w:t>
      </w:r>
      <w:r w:rsidR="000A658E">
        <w:t xml:space="preserve"> and to well depth</w:t>
      </w:r>
    </w:p>
    <w:p w:rsidR="002152D0" w:rsidRDefault="002152D0" w:rsidP="005641C1">
      <w:pPr>
        <w:ind w:left="1260" w:hanging="540"/>
      </w:pPr>
      <w:r>
        <w:t>3. Disseminate the information gained from this work to stakeholders by working with the Minnesota Department of Health, Minnesota Rural Water Association, and by presenting at state meetings.</w:t>
      </w:r>
    </w:p>
    <w:p w:rsidR="008D2242" w:rsidRPr="002152D0" w:rsidRDefault="002152D0" w:rsidP="002152D0">
      <w:pPr>
        <w:ind w:firstLine="720"/>
      </w:pPr>
      <w:r>
        <w:t xml:space="preserve">This research would compliment recent efforts by the MDH to </w:t>
      </w:r>
      <w:r w:rsidR="00781A6B">
        <w:t>quantify pathogenic viruses</w:t>
      </w:r>
      <w:r>
        <w:t xml:space="preserve"> </w:t>
      </w:r>
      <w:r w:rsidR="00781A6B">
        <w:t>in</w:t>
      </w:r>
      <w:r>
        <w:t xml:space="preserve"> Minnesota’s public </w:t>
      </w:r>
      <w:r w:rsidR="00781A6B">
        <w:t>ground</w:t>
      </w:r>
      <w:r>
        <w:t>water supplies, our recent LCCMR-funded project on bacteria in public groundwater supplies, and a recent state report showing increased nitrate contamination of water supplies.</w:t>
      </w:r>
    </w:p>
    <w:p w:rsidR="00C02DAD" w:rsidRPr="00E30687" w:rsidRDefault="00C02DAD" w:rsidP="006E0EFD">
      <w:pPr>
        <w:rPr>
          <w:rFonts w:cs="Arial"/>
          <w:b/>
          <w:sz w:val="18"/>
          <w:szCs w:val="18"/>
        </w:rPr>
      </w:pPr>
    </w:p>
    <w:p w:rsidR="006E0EFD" w:rsidRPr="000A658E"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350" w:type="dxa"/>
        <w:tblLook w:val="04A0"/>
      </w:tblPr>
      <w:tblGrid>
        <w:gridCol w:w="7731"/>
        <w:gridCol w:w="2344"/>
        <w:gridCol w:w="275"/>
      </w:tblGrid>
      <w:tr w:rsidR="002152D0" w:rsidRPr="00EB5831">
        <w:tc>
          <w:tcPr>
            <w:tcW w:w="10080" w:type="dxa"/>
            <w:gridSpan w:val="2"/>
          </w:tcPr>
          <w:p w:rsidR="002152D0" w:rsidRDefault="00686B53" w:rsidP="001C25DE">
            <w:pPr>
              <w:widowControl w:val="0"/>
              <w:ind w:right="-112"/>
              <w:rPr>
                <w:rFonts w:cs="Arial"/>
                <w:i/>
              </w:rPr>
            </w:pPr>
            <w:r w:rsidRPr="00EB5831">
              <w:rPr>
                <w:rFonts w:cs="Arial"/>
                <w:b/>
              </w:rPr>
              <w:t>Activity 1</w:t>
            </w:r>
            <w:r w:rsidR="008A5FD9">
              <w:rPr>
                <w:rFonts w:cs="Arial"/>
                <w:b/>
              </w:rPr>
              <w:t xml:space="preserve"> Title</w:t>
            </w:r>
            <w:r w:rsidRPr="00EB5831">
              <w:rPr>
                <w:rFonts w:cs="Arial"/>
                <w:b/>
              </w:rPr>
              <w:t>:</w:t>
            </w:r>
            <w:r w:rsidR="002152D0">
              <w:rPr>
                <w:rFonts w:cs="Arial"/>
                <w:i/>
              </w:rPr>
              <w:t xml:space="preserve"> Characterize </w:t>
            </w:r>
            <w:r w:rsidR="001C25DE">
              <w:rPr>
                <w:rFonts w:cs="Arial"/>
                <w:i/>
              </w:rPr>
              <w:t xml:space="preserve">microbial </w:t>
            </w:r>
            <w:r w:rsidR="002152D0">
              <w:rPr>
                <w:rFonts w:cs="Arial"/>
                <w:i/>
              </w:rPr>
              <w:t>communities in Minnesota’s groundwater obtained from private wells</w:t>
            </w:r>
          </w:p>
          <w:p w:rsidR="002152D0" w:rsidRPr="001C25DE" w:rsidRDefault="008A5FD9" w:rsidP="001C25DE">
            <w:pPr>
              <w:widowControl w:val="0"/>
              <w:ind w:right="-112"/>
              <w:rPr>
                <w:rFonts w:cs="Arial"/>
              </w:rPr>
            </w:pPr>
            <w:r>
              <w:rPr>
                <w:rFonts w:cs="Arial"/>
                <w:b/>
              </w:rPr>
              <w:t>Description:</w:t>
            </w:r>
            <w:r w:rsidR="00686B53" w:rsidRPr="00EB5831">
              <w:rPr>
                <w:rFonts w:cs="Arial"/>
                <w:i/>
              </w:rPr>
              <w:t xml:space="preserve"> </w:t>
            </w:r>
            <w:r w:rsidR="002152D0">
              <w:rPr>
                <w:rFonts w:cs="Arial"/>
              </w:rPr>
              <w:t xml:space="preserve">Samples will be collected from </w:t>
            </w:r>
            <w:r w:rsidR="005641C1">
              <w:rPr>
                <w:rFonts w:cs="Arial"/>
              </w:rPr>
              <w:t>up to 100</w:t>
            </w:r>
            <w:r w:rsidR="002152D0">
              <w:rPr>
                <w:rFonts w:cs="Arial"/>
              </w:rPr>
              <w:t xml:space="preserve"> private wells around the state. We will work with the MRWA and the MDH to identify possible participants and to solicit their involvement.  We </w:t>
            </w:r>
            <w:r w:rsidR="00781A6B">
              <w:rPr>
                <w:rFonts w:cs="Arial"/>
              </w:rPr>
              <w:t>plan to collect</w:t>
            </w:r>
            <w:r w:rsidR="002152D0">
              <w:rPr>
                <w:rFonts w:cs="Arial"/>
              </w:rPr>
              <w:t xml:space="preserve"> </w:t>
            </w:r>
            <w:r w:rsidR="00781A6B">
              <w:rPr>
                <w:rFonts w:cs="Arial"/>
              </w:rPr>
              <w:t xml:space="preserve">3 </w:t>
            </w:r>
            <w:r w:rsidR="002152D0">
              <w:rPr>
                <w:rFonts w:cs="Arial"/>
              </w:rPr>
              <w:t>samples from each well</w:t>
            </w:r>
            <w:r w:rsidR="00781A6B">
              <w:rPr>
                <w:rFonts w:cs="Arial"/>
              </w:rPr>
              <w:t xml:space="preserve"> at different times of the year</w:t>
            </w:r>
            <w:r w:rsidR="002152D0">
              <w:rPr>
                <w:rFonts w:cs="Arial"/>
              </w:rPr>
              <w:t xml:space="preserve">.  We will then </w:t>
            </w:r>
            <w:r w:rsidR="00781A6B">
              <w:rPr>
                <w:rFonts w:cs="Arial"/>
              </w:rPr>
              <w:t xml:space="preserve">characterize </w:t>
            </w:r>
            <w:r w:rsidR="002152D0">
              <w:rPr>
                <w:rFonts w:cs="Arial"/>
              </w:rPr>
              <w:t xml:space="preserve">the microorganisms in these samples using next-generation DNA sequencing technology. We will </w:t>
            </w:r>
            <w:r w:rsidR="00CA08FE">
              <w:rPr>
                <w:rFonts w:cs="Arial"/>
              </w:rPr>
              <w:t xml:space="preserve">use quantitative PCR (qPCR) to </w:t>
            </w:r>
            <w:r w:rsidR="002152D0">
              <w:rPr>
                <w:rFonts w:cs="Arial"/>
              </w:rPr>
              <w:t xml:space="preserve">quantify the presence of </w:t>
            </w:r>
            <w:r w:rsidR="001C25DE">
              <w:rPr>
                <w:rFonts w:cs="Arial"/>
              </w:rPr>
              <w:t>specific</w:t>
            </w:r>
            <w:r w:rsidR="005641C1">
              <w:rPr>
                <w:rFonts w:cs="Arial"/>
              </w:rPr>
              <w:t xml:space="preserve"> </w:t>
            </w:r>
            <w:r w:rsidR="001C25DE">
              <w:rPr>
                <w:rFonts w:cs="Arial"/>
              </w:rPr>
              <w:t>pathogenic</w:t>
            </w:r>
            <w:r w:rsidR="002152D0">
              <w:rPr>
                <w:rFonts w:cs="Arial"/>
              </w:rPr>
              <w:t xml:space="preserve"> </w:t>
            </w:r>
            <w:r w:rsidR="00CA08FE">
              <w:rPr>
                <w:rFonts w:cs="Arial"/>
              </w:rPr>
              <w:t>micro</w:t>
            </w:r>
            <w:r w:rsidR="002152D0">
              <w:rPr>
                <w:rFonts w:cs="Arial"/>
              </w:rPr>
              <w:t xml:space="preserve">organisms (e.g., </w:t>
            </w:r>
            <w:r w:rsidR="002152D0" w:rsidRPr="00441456">
              <w:rPr>
                <w:rFonts w:cs="Arial"/>
                <w:i/>
              </w:rPr>
              <w:t>Salmonella</w:t>
            </w:r>
            <w:r w:rsidR="002152D0">
              <w:rPr>
                <w:rFonts w:cs="Arial"/>
              </w:rPr>
              <w:t xml:space="preserve">, </w:t>
            </w:r>
            <w:r w:rsidR="002152D0">
              <w:rPr>
                <w:rFonts w:cs="Arial"/>
                <w:i/>
              </w:rPr>
              <w:t xml:space="preserve">Legionella, </w:t>
            </w:r>
            <w:r w:rsidR="001C25DE">
              <w:rPr>
                <w:rFonts w:cs="Arial"/>
                <w:i/>
              </w:rPr>
              <w:t>E.</w:t>
            </w:r>
            <w:r w:rsidR="004B5E68">
              <w:rPr>
                <w:rFonts w:cs="Arial"/>
                <w:i/>
              </w:rPr>
              <w:t xml:space="preserve"> </w:t>
            </w:r>
            <w:r w:rsidR="001C25DE">
              <w:rPr>
                <w:rFonts w:cs="Arial"/>
                <w:i/>
              </w:rPr>
              <w:t>coli</w:t>
            </w:r>
            <w:r w:rsidR="002152D0">
              <w:rPr>
                <w:rFonts w:cs="Arial"/>
              </w:rPr>
              <w:t xml:space="preserve">) </w:t>
            </w:r>
            <w:r w:rsidR="002152D0" w:rsidRPr="00441456">
              <w:rPr>
                <w:rFonts w:cs="Arial"/>
              </w:rPr>
              <w:t>known</w:t>
            </w:r>
            <w:r w:rsidR="002152D0">
              <w:rPr>
                <w:rFonts w:cs="Arial"/>
              </w:rPr>
              <w:t xml:space="preserve"> to cause disease in humans</w:t>
            </w:r>
            <w:r w:rsidR="001C25DE">
              <w:rPr>
                <w:rFonts w:cs="Arial"/>
              </w:rPr>
              <w:t xml:space="preserve"> as well as </w:t>
            </w:r>
            <w:proofErr w:type="spellStart"/>
            <w:r w:rsidR="001C25DE" w:rsidRPr="001C25DE">
              <w:rPr>
                <w:rFonts w:cs="Arial"/>
              </w:rPr>
              <w:t>crAssphage</w:t>
            </w:r>
            <w:proofErr w:type="spellEnd"/>
            <w:r w:rsidR="001C25DE" w:rsidRPr="001C25DE">
              <w:rPr>
                <w:rFonts w:cs="Arial"/>
              </w:rPr>
              <w:t>,</w:t>
            </w:r>
            <w:r w:rsidR="001C25DE">
              <w:rPr>
                <w:rFonts w:cs="Arial"/>
              </w:rPr>
              <w:t xml:space="preserve"> a viral marker of human fecal contamination (</w:t>
            </w:r>
            <w:r w:rsidR="00CA08FE">
              <w:rPr>
                <w:rFonts w:cs="Arial"/>
              </w:rPr>
              <w:t xml:space="preserve">i.e., </w:t>
            </w:r>
            <w:r w:rsidR="001C25DE">
              <w:rPr>
                <w:rFonts w:cs="Arial"/>
              </w:rPr>
              <w:t>as opposed to animal)</w:t>
            </w:r>
            <w:r w:rsidR="002152D0">
              <w:rPr>
                <w:rFonts w:cs="Arial"/>
              </w:rPr>
              <w:t>.  Finally, we will use software that is freely available to University researchers to statistically analyze the data and correlate our microbiological data to other water quality data (see Activity 2).</w:t>
            </w:r>
          </w:p>
          <w:p w:rsidR="002152D0" w:rsidRPr="00D81C14" w:rsidRDefault="005431D4" w:rsidP="001B3FC4">
            <w:pPr>
              <w:autoSpaceDE w:val="0"/>
              <w:autoSpaceDN w:val="0"/>
              <w:adjustRightInd w:val="0"/>
              <w:ind w:right="-201"/>
              <w:rPr>
                <w:rFonts w:cs="Arial"/>
                <w:b/>
                <w:bCs/>
                <w:color w:val="000000"/>
                <w:highlight w:val="yellow"/>
              </w:rPr>
            </w:pPr>
            <w:r>
              <w:rPr>
                <w:rFonts w:cs="Arial"/>
                <w:b/>
                <w:bCs/>
                <w:color w:val="000000"/>
              </w:rPr>
              <w:t>ENRTF BUDGET: $</w:t>
            </w:r>
            <w:r w:rsidR="00DD31DF">
              <w:rPr>
                <w:rFonts w:cs="Arial"/>
                <w:b/>
                <w:bCs/>
                <w:color w:val="000000"/>
              </w:rPr>
              <w:t>23</w:t>
            </w:r>
            <w:r w:rsidR="001B3FC4">
              <w:rPr>
                <w:rFonts w:cs="Arial"/>
                <w:b/>
                <w:bCs/>
                <w:color w:val="000000"/>
              </w:rPr>
              <w:t>5</w:t>
            </w:r>
            <w:r w:rsidR="00DD31DF">
              <w:rPr>
                <w:rFonts w:cs="Arial"/>
                <w:b/>
                <w:bCs/>
                <w:color w:val="000000"/>
              </w:rPr>
              <w:t>,5</w:t>
            </w:r>
            <w:r w:rsidR="001B3FC4">
              <w:rPr>
                <w:rFonts w:cs="Arial"/>
                <w:b/>
                <w:bCs/>
                <w:color w:val="000000"/>
              </w:rPr>
              <w:t>4</w:t>
            </w:r>
            <w:r w:rsidR="00DD31DF">
              <w:rPr>
                <w:rFonts w:cs="Arial"/>
                <w:b/>
                <w:bCs/>
                <w:color w:val="000000"/>
              </w:rPr>
              <w:t>8.</w:t>
            </w:r>
          </w:p>
        </w:tc>
        <w:tc>
          <w:tcPr>
            <w:tcW w:w="270" w:type="dxa"/>
          </w:tcPr>
          <w:p w:rsidR="00686B53" w:rsidRPr="00EB5831" w:rsidRDefault="00686B53" w:rsidP="00781A6B">
            <w:pPr>
              <w:ind w:right="-201"/>
              <w:rPr>
                <w:rFonts w:cs="Arial"/>
              </w:rPr>
            </w:pPr>
          </w:p>
        </w:tc>
      </w:tr>
      <w:tr w:rsidR="002152D0" w:rsidRPr="009D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7735" w:type="dxa"/>
          </w:tcPr>
          <w:p w:rsidR="002152D0" w:rsidRPr="009D6EC8" w:rsidRDefault="002152D0" w:rsidP="002152D0">
            <w:pPr>
              <w:rPr>
                <w:rFonts w:cs="Arial"/>
                <w:b/>
              </w:rPr>
            </w:pPr>
            <w:r w:rsidRPr="0074634E">
              <w:rPr>
                <w:rFonts w:cs="Arial"/>
                <w:b/>
              </w:rPr>
              <w:t>Outcome</w:t>
            </w:r>
          </w:p>
        </w:tc>
        <w:tc>
          <w:tcPr>
            <w:tcW w:w="2335" w:type="dxa"/>
          </w:tcPr>
          <w:p w:rsidR="002152D0" w:rsidRPr="009D6EC8" w:rsidRDefault="002152D0" w:rsidP="002152D0">
            <w:pPr>
              <w:jc w:val="center"/>
              <w:rPr>
                <w:rFonts w:cs="Arial"/>
                <w:b/>
              </w:rPr>
            </w:pPr>
            <w:r w:rsidRPr="0074634E">
              <w:rPr>
                <w:rFonts w:cs="Arial"/>
                <w:b/>
              </w:rPr>
              <w:t>Completion Date</w:t>
            </w:r>
          </w:p>
        </w:tc>
      </w:tr>
      <w:tr w:rsidR="002152D0" w:rsidRPr="009D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7735" w:type="dxa"/>
          </w:tcPr>
          <w:p w:rsidR="002152D0" w:rsidRPr="009D6EC8" w:rsidRDefault="002152D0" w:rsidP="002152D0">
            <w:pPr>
              <w:rPr>
                <w:rFonts w:cs="Arial"/>
                <w:i/>
              </w:rPr>
            </w:pPr>
            <w:r w:rsidRPr="0074634E">
              <w:rPr>
                <w:rFonts w:cs="Arial"/>
                <w:i/>
              </w:rPr>
              <w:t xml:space="preserve">1. </w:t>
            </w:r>
            <w:r>
              <w:rPr>
                <w:rFonts w:cs="Arial"/>
                <w:i/>
              </w:rPr>
              <w:t>Sample collection and Genomic DNA extractions</w:t>
            </w:r>
          </w:p>
        </w:tc>
        <w:tc>
          <w:tcPr>
            <w:tcW w:w="2335" w:type="dxa"/>
          </w:tcPr>
          <w:p w:rsidR="002152D0" w:rsidRPr="009D6EC8" w:rsidRDefault="002152D0" w:rsidP="002152D0">
            <w:pPr>
              <w:rPr>
                <w:rFonts w:cs="Arial"/>
                <w:i/>
              </w:rPr>
            </w:pPr>
            <w:r>
              <w:rPr>
                <w:rFonts w:cs="Arial"/>
              </w:rPr>
              <w:t>December 31</w:t>
            </w:r>
            <w:r w:rsidRPr="0074634E">
              <w:rPr>
                <w:rFonts w:cs="Arial"/>
              </w:rPr>
              <w:t>, 20</w:t>
            </w:r>
            <w:r>
              <w:rPr>
                <w:rFonts w:cs="Arial"/>
              </w:rPr>
              <w:t>22</w:t>
            </w:r>
          </w:p>
        </w:tc>
      </w:tr>
      <w:tr w:rsidR="002152D0" w:rsidRPr="009D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7735" w:type="dxa"/>
          </w:tcPr>
          <w:p w:rsidR="002152D0" w:rsidRPr="009D6EC8" w:rsidRDefault="002152D0" w:rsidP="002152D0">
            <w:pPr>
              <w:rPr>
                <w:rFonts w:cs="Arial"/>
                <w:i/>
              </w:rPr>
            </w:pPr>
            <w:r>
              <w:rPr>
                <w:rFonts w:cs="Arial"/>
                <w:i/>
              </w:rPr>
              <w:t>2</w:t>
            </w:r>
            <w:r w:rsidRPr="0074634E">
              <w:rPr>
                <w:rFonts w:cs="Arial"/>
                <w:i/>
              </w:rPr>
              <w:t xml:space="preserve">. </w:t>
            </w:r>
            <w:r>
              <w:rPr>
                <w:rFonts w:cs="Arial"/>
                <w:i/>
              </w:rPr>
              <w:t>Next-Generation DNA sequencing</w:t>
            </w:r>
          </w:p>
        </w:tc>
        <w:tc>
          <w:tcPr>
            <w:tcW w:w="2335" w:type="dxa"/>
          </w:tcPr>
          <w:p w:rsidR="002152D0" w:rsidRPr="009D6EC8" w:rsidRDefault="002152D0" w:rsidP="002152D0">
            <w:pPr>
              <w:rPr>
                <w:rFonts w:cs="Arial"/>
                <w:i/>
              </w:rPr>
            </w:pPr>
            <w:r>
              <w:rPr>
                <w:rFonts w:cs="Arial"/>
              </w:rPr>
              <w:t>December 31</w:t>
            </w:r>
            <w:r w:rsidRPr="0074634E">
              <w:rPr>
                <w:rFonts w:cs="Arial"/>
              </w:rPr>
              <w:t>, 20</w:t>
            </w:r>
            <w:r>
              <w:rPr>
                <w:rFonts w:cs="Arial"/>
              </w:rPr>
              <w:t>22</w:t>
            </w:r>
          </w:p>
        </w:tc>
      </w:tr>
      <w:tr w:rsidR="002152D0" w:rsidRPr="009D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116"/>
        </w:trPr>
        <w:tc>
          <w:tcPr>
            <w:tcW w:w="7735" w:type="dxa"/>
          </w:tcPr>
          <w:p w:rsidR="002152D0" w:rsidRPr="009D6EC8" w:rsidRDefault="002152D0" w:rsidP="002152D0">
            <w:pPr>
              <w:rPr>
                <w:rFonts w:cs="Arial"/>
                <w:i/>
              </w:rPr>
            </w:pPr>
            <w:r>
              <w:rPr>
                <w:rFonts w:cs="Arial"/>
                <w:i/>
              </w:rPr>
              <w:t>3</w:t>
            </w:r>
            <w:r w:rsidRPr="0074634E">
              <w:rPr>
                <w:rFonts w:cs="Arial"/>
                <w:i/>
              </w:rPr>
              <w:t xml:space="preserve">. </w:t>
            </w:r>
            <w:r>
              <w:rPr>
                <w:rFonts w:cs="Arial"/>
                <w:i/>
              </w:rPr>
              <w:t>Quantification of specific microorganisms</w:t>
            </w:r>
          </w:p>
        </w:tc>
        <w:tc>
          <w:tcPr>
            <w:tcW w:w="2335" w:type="dxa"/>
          </w:tcPr>
          <w:p w:rsidR="002152D0" w:rsidRPr="009D6EC8" w:rsidRDefault="002152D0" w:rsidP="002152D0">
            <w:pPr>
              <w:rPr>
                <w:rFonts w:cs="Arial"/>
                <w:i/>
              </w:rPr>
            </w:pPr>
            <w:r>
              <w:rPr>
                <w:rFonts w:cs="Arial"/>
              </w:rPr>
              <w:t>December 31</w:t>
            </w:r>
            <w:r w:rsidRPr="0074634E">
              <w:rPr>
                <w:rFonts w:cs="Arial"/>
              </w:rPr>
              <w:t>, 20</w:t>
            </w:r>
            <w:r>
              <w:rPr>
                <w:rFonts w:cs="Arial"/>
              </w:rPr>
              <w:t>22</w:t>
            </w:r>
          </w:p>
        </w:tc>
      </w:tr>
      <w:tr w:rsidR="002152D0" w:rsidRPr="009D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116"/>
        </w:trPr>
        <w:tc>
          <w:tcPr>
            <w:tcW w:w="7735" w:type="dxa"/>
          </w:tcPr>
          <w:p w:rsidR="002152D0" w:rsidRPr="009D6EC8" w:rsidRDefault="002152D0" w:rsidP="002152D0">
            <w:pPr>
              <w:rPr>
                <w:rFonts w:cs="Arial"/>
                <w:i/>
              </w:rPr>
            </w:pPr>
            <w:r>
              <w:rPr>
                <w:rFonts w:cs="Arial"/>
                <w:i/>
              </w:rPr>
              <w:t>4</w:t>
            </w:r>
            <w:r w:rsidRPr="0074634E">
              <w:rPr>
                <w:rFonts w:cs="Arial"/>
                <w:i/>
              </w:rPr>
              <w:t xml:space="preserve">. </w:t>
            </w:r>
            <w:r>
              <w:rPr>
                <w:rFonts w:cs="Arial"/>
                <w:i/>
              </w:rPr>
              <w:t>Data Analysis</w:t>
            </w:r>
          </w:p>
        </w:tc>
        <w:tc>
          <w:tcPr>
            <w:tcW w:w="2335" w:type="dxa"/>
          </w:tcPr>
          <w:p w:rsidR="002152D0" w:rsidRPr="009D6EC8" w:rsidRDefault="002152D0" w:rsidP="002152D0">
            <w:pPr>
              <w:rPr>
                <w:rFonts w:cs="Arial"/>
                <w:i/>
              </w:rPr>
            </w:pPr>
            <w:r>
              <w:rPr>
                <w:rFonts w:cs="Arial"/>
              </w:rPr>
              <w:t>April 30</w:t>
            </w:r>
            <w:r w:rsidRPr="0074634E">
              <w:rPr>
                <w:rFonts w:cs="Arial"/>
              </w:rPr>
              <w:t>, 20</w:t>
            </w:r>
            <w:r>
              <w:rPr>
                <w:rFonts w:cs="Arial"/>
              </w:rPr>
              <w:t>23</w:t>
            </w:r>
          </w:p>
        </w:tc>
      </w:tr>
    </w:tbl>
    <w:p w:rsidR="00C02DAD" w:rsidRPr="00E30687" w:rsidRDefault="00C02DAD" w:rsidP="005431D4">
      <w:pPr>
        <w:tabs>
          <w:tab w:val="left" w:pos="540"/>
        </w:tabs>
        <w:autoSpaceDE w:val="0"/>
        <w:autoSpaceDN w:val="0"/>
        <w:adjustRightInd w:val="0"/>
        <w:rPr>
          <w:rFonts w:cs="Arial"/>
          <w:i/>
          <w:sz w:val="18"/>
          <w:szCs w:val="18"/>
        </w:rPr>
      </w:pPr>
    </w:p>
    <w:tbl>
      <w:tblPr>
        <w:tblW w:w="13338" w:type="dxa"/>
        <w:tblLook w:val="04A0"/>
      </w:tblPr>
      <w:tblGrid>
        <w:gridCol w:w="7740"/>
        <w:gridCol w:w="2330"/>
        <w:gridCol w:w="1000"/>
        <w:gridCol w:w="2268"/>
      </w:tblGrid>
      <w:tr w:rsidR="002152D0" w:rsidRPr="00EB5831">
        <w:tc>
          <w:tcPr>
            <w:tcW w:w="11070" w:type="dxa"/>
            <w:gridSpan w:val="3"/>
          </w:tcPr>
          <w:p w:rsidR="002152D0" w:rsidRDefault="002152D0" w:rsidP="00CA08FE">
            <w:pPr>
              <w:widowControl w:val="0"/>
              <w:ind w:right="791"/>
              <w:rPr>
                <w:rFonts w:cs="Arial"/>
                <w:b/>
              </w:rPr>
            </w:pPr>
            <w:r w:rsidRPr="00EB5831">
              <w:rPr>
                <w:rFonts w:cs="Arial"/>
                <w:b/>
              </w:rPr>
              <w:t xml:space="preserve">Activity </w:t>
            </w:r>
            <w:r>
              <w:rPr>
                <w:rFonts w:cs="Arial"/>
                <w:b/>
              </w:rPr>
              <w:t>2 Title</w:t>
            </w:r>
            <w:r w:rsidRPr="00EB5831">
              <w:rPr>
                <w:rFonts w:cs="Arial"/>
                <w:b/>
              </w:rPr>
              <w:t>:</w:t>
            </w:r>
            <w:r>
              <w:rPr>
                <w:rFonts w:cs="Arial"/>
                <w:i/>
              </w:rPr>
              <w:t xml:space="preserve"> Analyze </w:t>
            </w:r>
            <w:r w:rsidR="00AC6427">
              <w:rPr>
                <w:rFonts w:cs="Arial"/>
                <w:i/>
              </w:rPr>
              <w:t xml:space="preserve">the groundwaters for </w:t>
            </w:r>
            <w:r>
              <w:rPr>
                <w:rFonts w:cs="Arial"/>
                <w:i/>
              </w:rPr>
              <w:t>conventional water quality parameters and correlate with microbiological data</w:t>
            </w:r>
            <w:r w:rsidR="00AC6427">
              <w:rPr>
                <w:rFonts w:cs="Arial"/>
                <w:i/>
              </w:rPr>
              <w:t>.</w:t>
            </w:r>
          </w:p>
          <w:p w:rsidR="002152D0" w:rsidRDefault="002152D0" w:rsidP="00CA08FE">
            <w:pPr>
              <w:keepNext/>
              <w:ind w:right="791"/>
              <w:rPr>
                <w:rFonts w:cs="Arial"/>
                <w:i/>
              </w:rPr>
            </w:pPr>
            <w:r>
              <w:rPr>
                <w:rFonts w:cs="Arial"/>
                <w:b/>
              </w:rPr>
              <w:t>Description:</w:t>
            </w:r>
            <w:r w:rsidRPr="00EB5831">
              <w:rPr>
                <w:rFonts w:cs="Arial"/>
                <w:i/>
              </w:rPr>
              <w:t xml:space="preserve"> </w:t>
            </w:r>
            <w:r w:rsidR="00D81C14">
              <w:rPr>
                <w:rFonts w:cs="Arial"/>
              </w:rPr>
              <w:t>At the same time that we collect samples for microbiological analysis, we will also collect samples for analysis of conventional water quality parameters</w:t>
            </w:r>
            <w:r w:rsidR="0017404C">
              <w:rPr>
                <w:rFonts w:cs="Arial"/>
              </w:rPr>
              <w:t xml:space="preserve"> including:</w:t>
            </w:r>
            <w:r w:rsidR="00D81C14">
              <w:rPr>
                <w:rFonts w:cs="Arial"/>
              </w:rPr>
              <w:t xml:space="preserve"> temperature, pH, chloride, </w:t>
            </w:r>
            <w:r w:rsidR="0017404C">
              <w:rPr>
                <w:rFonts w:cs="Arial"/>
              </w:rPr>
              <w:t>and</w:t>
            </w:r>
            <w:r w:rsidR="00D81C14">
              <w:rPr>
                <w:rFonts w:cs="Arial"/>
              </w:rPr>
              <w:t xml:space="preserve"> nitrate.  We will also measure tritium</w:t>
            </w:r>
            <w:r w:rsidR="0017404C">
              <w:rPr>
                <w:rFonts w:cs="Arial"/>
              </w:rPr>
              <w:t xml:space="preserve">, </w:t>
            </w:r>
            <w:r w:rsidR="00D81C14">
              <w:rPr>
                <w:rFonts w:cs="Arial"/>
              </w:rPr>
              <w:t xml:space="preserve">as </w:t>
            </w:r>
            <w:r w:rsidR="00AC6427">
              <w:rPr>
                <w:rFonts w:cs="Arial"/>
              </w:rPr>
              <w:t xml:space="preserve">a measure of water age and </w:t>
            </w:r>
            <w:r w:rsidR="00D81C14">
              <w:rPr>
                <w:rFonts w:cs="Arial"/>
              </w:rPr>
              <w:t xml:space="preserve">aquifer vulnerability.  We will also quantify fecal coliforms, </w:t>
            </w:r>
            <w:r w:rsidR="00D81C14" w:rsidRPr="00441456">
              <w:rPr>
                <w:rFonts w:cs="Arial"/>
                <w:i/>
              </w:rPr>
              <w:t>E. coli</w:t>
            </w:r>
            <w:r w:rsidR="00D81C14">
              <w:rPr>
                <w:rFonts w:cs="Arial"/>
              </w:rPr>
              <w:t xml:space="preserve">, and </w:t>
            </w:r>
            <w:r w:rsidR="00D81C14">
              <w:rPr>
                <w:rFonts w:cs="Arial"/>
                <w:i/>
              </w:rPr>
              <w:t xml:space="preserve">Enterococcus </w:t>
            </w:r>
            <w:r w:rsidR="00D81C14">
              <w:rPr>
                <w:rFonts w:cs="Arial"/>
              </w:rPr>
              <w:t xml:space="preserve">spp. using cultivation-based methods. </w:t>
            </w:r>
          </w:p>
          <w:p w:rsidR="002152D0" w:rsidRPr="002152D0" w:rsidRDefault="002152D0" w:rsidP="0064538C">
            <w:pPr>
              <w:autoSpaceDE w:val="0"/>
              <w:autoSpaceDN w:val="0"/>
              <w:adjustRightInd w:val="0"/>
              <w:rPr>
                <w:rFonts w:cs="Arial"/>
                <w:b/>
                <w:bCs/>
                <w:color w:val="000000"/>
              </w:rPr>
            </w:pPr>
            <w:r>
              <w:rPr>
                <w:rFonts w:cs="Arial"/>
                <w:b/>
                <w:bCs/>
                <w:color w:val="000000"/>
              </w:rPr>
              <w:t>ENRTF BUDGET: $</w:t>
            </w:r>
            <w:r w:rsidR="00DD31DF" w:rsidRPr="00DD31DF">
              <w:rPr>
                <w:rFonts w:cs="Arial"/>
                <w:b/>
                <w:bCs/>
                <w:color w:val="000000"/>
              </w:rPr>
              <w:t>133,14</w:t>
            </w:r>
            <w:r w:rsidR="00FF28D7">
              <w:rPr>
                <w:rFonts w:cs="Arial"/>
                <w:b/>
                <w:bCs/>
                <w:color w:val="000000"/>
              </w:rPr>
              <w:t>5</w:t>
            </w:r>
            <w:r w:rsidR="00DD31DF" w:rsidRPr="00DD31DF">
              <w:rPr>
                <w:rFonts w:cs="Arial"/>
                <w:b/>
                <w:bCs/>
                <w:color w:val="000000"/>
              </w:rPr>
              <w:t>.</w:t>
            </w:r>
          </w:p>
        </w:tc>
        <w:tc>
          <w:tcPr>
            <w:tcW w:w="2268" w:type="dxa"/>
          </w:tcPr>
          <w:p w:rsidR="002152D0" w:rsidRPr="00EB5831" w:rsidRDefault="002152D0" w:rsidP="0064538C">
            <w:pPr>
              <w:rPr>
                <w:rFonts w:cs="Arial"/>
              </w:rPr>
            </w:pPr>
          </w:p>
        </w:tc>
      </w:tr>
      <w:tr w:rsidR="002152D0" w:rsidRPr="009D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68" w:type="dxa"/>
        </w:trPr>
        <w:tc>
          <w:tcPr>
            <w:tcW w:w="7740" w:type="dxa"/>
          </w:tcPr>
          <w:p w:rsidR="002152D0" w:rsidRPr="009D6EC8" w:rsidRDefault="002152D0" w:rsidP="0064538C">
            <w:pPr>
              <w:rPr>
                <w:rFonts w:cs="Arial"/>
                <w:b/>
              </w:rPr>
            </w:pPr>
            <w:r w:rsidRPr="009D6EC8">
              <w:rPr>
                <w:rFonts w:cs="Arial"/>
                <w:b/>
              </w:rPr>
              <w:t>Outcome</w:t>
            </w:r>
          </w:p>
        </w:tc>
        <w:tc>
          <w:tcPr>
            <w:tcW w:w="2330" w:type="dxa"/>
          </w:tcPr>
          <w:p w:rsidR="002152D0" w:rsidRPr="009D6EC8" w:rsidRDefault="002152D0" w:rsidP="0064538C">
            <w:pPr>
              <w:jc w:val="center"/>
              <w:rPr>
                <w:rFonts w:cs="Arial"/>
                <w:b/>
              </w:rPr>
            </w:pPr>
            <w:r w:rsidRPr="009D6EC8">
              <w:rPr>
                <w:rFonts w:cs="Arial"/>
                <w:b/>
              </w:rPr>
              <w:t>Completion Date</w:t>
            </w:r>
          </w:p>
        </w:tc>
      </w:tr>
      <w:tr w:rsidR="00D81C14" w:rsidRPr="009D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68" w:type="dxa"/>
        </w:trPr>
        <w:tc>
          <w:tcPr>
            <w:tcW w:w="7740" w:type="dxa"/>
          </w:tcPr>
          <w:p w:rsidR="00D81C14" w:rsidRPr="009D6EC8" w:rsidRDefault="00D81C14" w:rsidP="00D81C14">
            <w:pPr>
              <w:rPr>
                <w:rFonts w:cs="Arial"/>
                <w:i/>
              </w:rPr>
            </w:pPr>
            <w:r w:rsidRPr="0074634E">
              <w:rPr>
                <w:rFonts w:cs="Arial"/>
                <w:i/>
              </w:rPr>
              <w:t xml:space="preserve">1. </w:t>
            </w:r>
            <w:r>
              <w:rPr>
                <w:rFonts w:cs="Arial"/>
                <w:i/>
              </w:rPr>
              <w:t>Sample collection, water quality analyses</w:t>
            </w:r>
          </w:p>
        </w:tc>
        <w:tc>
          <w:tcPr>
            <w:tcW w:w="2330" w:type="dxa"/>
          </w:tcPr>
          <w:p w:rsidR="00D81C14" w:rsidRPr="009D6EC8" w:rsidRDefault="00D81C14" w:rsidP="00D81C14">
            <w:pPr>
              <w:rPr>
                <w:rFonts w:cs="Arial"/>
                <w:i/>
              </w:rPr>
            </w:pPr>
            <w:r>
              <w:rPr>
                <w:rFonts w:cs="Arial"/>
              </w:rPr>
              <w:t>December 31</w:t>
            </w:r>
            <w:r w:rsidRPr="0074634E">
              <w:rPr>
                <w:rFonts w:cs="Arial"/>
              </w:rPr>
              <w:t>, 20</w:t>
            </w:r>
            <w:r>
              <w:rPr>
                <w:rFonts w:cs="Arial"/>
              </w:rPr>
              <w:t>22</w:t>
            </w:r>
          </w:p>
        </w:tc>
      </w:tr>
      <w:tr w:rsidR="00D81C14" w:rsidRPr="009D6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268" w:type="dxa"/>
        </w:trPr>
        <w:tc>
          <w:tcPr>
            <w:tcW w:w="7740" w:type="dxa"/>
          </w:tcPr>
          <w:p w:rsidR="00D81C14" w:rsidRPr="009D6EC8" w:rsidRDefault="00D81C14" w:rsidP="00D81C14">
            <w:pPr>
              <w:rPr>
                <w:rFonts w:cs="Arial"/>
                <w:i/>
              </w:rPr>
            </w:pPr>
            <w:r>
              <w:rPr>
                <w:rFonts w:cs="Arial"/>
                <w:i/>
              </w:rPr>
              <w:t>2</w:t>
            </w:r>
            <w:r w:rsidRPr="0074634E">
              <w:rPr>
                <w:rFonts w:cs="Arial"/>
                <w:i/>
              </w:rPr>
              <w:t xml:space="preserve">. </w:t>
            </w:r>
            <w:r>
              <w:rPr>
                <w:rFonts w:cs="Arial"/>
                <w:i/>
              </w:rPr>
              <w:t>Statistical Analysis</w:t>
            </w:r>
          </w:p>
        </w:tc>
        <w:tc>
          <w:tcPr>
            <w:tcW w:w="2330" w:type="dxa"/>
          </w:tcPr>
          <w:p w:rsidR="00D81C14" w:rsidRPr="009D6EC8" w:rsidRDefault="00D81C14" w:rsidP="00D81C14">
            <w:pPr>
              <w:rPr>
                <w:rFonts w:cs="Arial"/>
                <w:i/>
              </w:rPr>
            </w:pPr>
            <w:r>
              <w:rPr>
                <w:rFonts w:cs="Arial"/>
              </w:rPr>
              <w:t>April 30</w:t>
            </w:r>
            <w:r w:rsidRPr="0074634E">
              <w:rPr>
                <w:rFonts w:cs="Arial"/>
              </w:rPr>
              <w:t>, 20</w:t>
            </w:r>
            <w:r>
              <w:rPr>
                <w:rFonts w:cs="Arial"/>
              </w:rPr>
              <w:t>23</w:t>
            </w:r>
          </w:p>
        </w:tc>
      </w:tr>
    </w:tbl>
    <w:p w:rsidR="002152D0" w:rsidRPr="00E30687" w:rsidRDefault="002152D0" w:rsidP="005431D4">
      <w:pPr>
        <w:tabs>
          <w:tab w:val="left" w:pos="540"/>
        </w:tabs>
        <w:autoSpaceDE w:val="0"/>
        <w:autoSpaceDN w:val="0"/>
        <w:adjustRightInd w:val="0"/>
        <w:rPr>
          <w:rFonts w:cs="Arial"/>
          <w:i/>
          <w:sz w:val="18"/>
          <w:szCs w:val="18"/>
        </w:rPr>
      </w:pPr>
    </w:p>
    <w:tbl>
      <w:tblPr>
        <w:tblW w:w="11014" w:type="dxa"/>
        <w:tblLook w:val="04A0"/>
      </w:tblPr>
      <w:tblGrid>
        <w:gridCol w:w="10741"/>
        <w:gridCol w:w="273"/>
      </w:tblGrid>
      <w:tr w:rsidR="002152D0" w:rsidRPr="00EB5831">
        <w:trPr>
          <w:trHeight w:val="3019"/>
        </w:trPr>
        <w:tc>
          <w:tcPr>
            <w:tcW w:w="10741" w:type="dxa"/>
          </w:tcPr>
          <w:p w:rsidR="002152D0" w:rsidRDefault="002152D0" w:rsidP="00781A6B">
            <w:pPr>
              <w:widowControl w:val="0"/>
              <w:ind w:right="464"/>
              <w:rPr>
                <w:rFonts w:cs="Arial"/>
                <w:b/>
              </w:rPr>
            </w:pPr>
            <w:r w:rsidRPr="00EB5831">
              <w:rPr>
                <w:rFonts w:cs="Arial"/>
                <w:b/>
              </w:rPr>
              <w:t xml:space="preserve">Activity </w:t>
            </w:r>
            <w:r>
              <w:rPr>
                <w:rFonts w:cs="Arial"/>
                <w:b/>
              </w:rPr>
              <w:t>3 Title</w:t>
            </w:r>
            <w:r w:rsidRPr="00EB5831">
              <w:rPr>
                <w:rFonts w:cs="Arial"/>
                <w:b/>
              </w:rPr>
              <w:t>:</w:t>
            </w:r>
            <w:r>
              <w:rPr>
                <w:rFonts w:cs="Arial"/>
                <w:i/>
              </w:rPr>
              <w:t xml:space="preserve"> </w:t>
            </w:r>
            <w:r w:rsidRPr="00EC1EAC">
              <w:rPr>
                <w:rFonts w:cs="Arial"/>
                <w:i/>
              </w:rPr>
              <w:t>Disseminate research results to stakeholders.</w:t>
            </w:r>
          </w:p>
          <w:p w:rsidR="002152D0" w:rsidRDefault="002152D0" w:rsidP="00781A6B">
            <w:pPr>
              <w:keepNext/>
              <w:ind w:right="464"/>
              <w:rPr>
                <w:rFonts w:cs="Arial"/>
              </w:rPr>
            </w:pPr>
            <w:r>
              <w:rPr>
                <w:rFonts w:cs="Arial"/>
                <w:b/>
              </w:rPr>
              <w:t>Description:</w:t>
            </w:r>
            <w:r w:rsidRPr="00EB5831">
              <w:rPr>
                <w:rFonts w:cs="Arial"/>
                <w:i/>
              </w:rPr>
              <w:t xml:space="preserve"> </w:t>
            </w:r>
            <w:r>
              <w:rPr>
                <w:rFonts w:cs="Arial"/>
              </w:rPr>
              <w:t xml:space="preserve">The first two activities will significantly improve our knowledge of the microbiological safety of </w:t>
            </w:r>
            <w:r w:rsidR="0017404C">
              <w:rPr>
                <w:rFonts w:cs="Arial"/>
              </w:rPr>
              <w:t xml:space="preserve">groundwater from </w:t>
            </w:r>
            <w:r>
              <w:rPr>
                <w:rFonts w:cs="Arial"/>
              </w:rPr>
              <w:t xml:space="preserve">private wells </w:t>
            </w:r>
            <w:r w:rsidR="0017404C">
              <w:rPr>
                <w:rFonts w:cs="Arial"/>
              </w:rPr>
              <w:t xml:space="preserve">in MN </w:t>
            </w:r>
            <w:r>
              <w:rPr>
                <w:rFonts w:cs="Arial"/>
              </w:rPr>
              <w:t xml:space="preserve">and identify well characteristics that </w:t>
            </w:r>
            <w:r w:rsidR="000A658E">
              <w:rPr>
                <w:rFonts w:cs="Arial"/>
              </w:rPr>
              <w:t>suggest</w:t>
            </w:r>
            <w:r>
              <w:rPr>
                <w:rFonts w:cs="Arial"/>
              </w:rPr>
              <w:t xml:space="preserve"> higher risk. The final activity will be to disseminate these results at local conferences (e.g., MN Section of the American Water Works Association Annual Conference), to the stakeholders (e.g., rural residents) by working with the MDH and the MRWA, and to the scientific community via open-access publication</w:t>
            </w:r>
            <w:r w:rsidR="000A658E">
              <w:rPr>
                <w:rFonts w:cs="Arial"/>
              </w:rPr>
              <w:t>s</w:t>
            </w:r>
            <w:r>
              <w:rPr>
                <w:rFonts w:cs="Arial"/>
              </w:rPr>
              <w:t xml:space="preserve">. </w:t>
            </w:r>
            <w:r w:rsidR="00BC48BE">
              <w:rPr>
                <w:rFonts w:cs="Arial"/>
              </w:rPr>
              <w:t>Outreach activities could be used to inform well owners in higher risk regions of the state and/or with certain well characteristics to consider alternatives to protect their health such as: (1) pathogen testing, (2) install a point-of-use treatment system, (3) drill new well, or (4) drink bottled water.</w:t>
            </w:r>
          </w:p>
          <w:p w:rsidR="00D81C14" w:rsidRPr="00F2615E" w:rsidRDefault="00D81C14" w:rsidP="00781A6B">
            <w:pPr>
              <w:keepNext/>
              <w:ind w:right="464"/>
              <w:rPr>
                <w:rFonts w:cs="Arial"/>
              </w:rPr>
            </w:pPr>
            <w:r>
              <w:rPr>
                <w:rFonts w:cs="Arial"/>
                <w:b/>
                <w:bCs/>
                <w:color w:val="000000"/>
              </w:rPr>
              <w:t>ENRTF BUDGET: $</w:t>
            </w:r>
            <w:r w:rsidR="00DD31DF" w:rsidRPr="00DD31DF">
              <w:rPr>
                <w:rFonts w:cs="Arial"/>
                <w:b/>
                <w:bCs/>
                <w:color w:val="000000"/>
              </w:rPr>
              <w:t>130,503.</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3"/>
              <w:gridCol w:w="2250"/>
            </w:tblGrid>
            <w:tr w:rsidR="002152D0" w:rsidRPr="009D6EC8">
              <w:trPr>
                <w:trHeight w:val="265"/>
              </w:trPr>
              <w:tc>
                <w:tcPr>
                  <w:tcW w:w="7713" w:type="dxa"/>
                </w:tcPr>
                <w:p w:rsidR="002152D0" w:rsidRPr="009D6EC8" w:rsidRDefault="002152D0" w:rsidP="00781A6B">
                  <w:pPr>
                    <w:ind w:right="464"/>
                    <w:rPr>
                      <w:rFonts w:cs="Arial"/>
                      <w:b/>
                    </w:rPr>
                  </w:pPr>
                  <w:r w:rsidRPr="009D6EC8">
                    <w:rPr>
                      <w:rFonts w:cs="Arial"/>
                      <w:b/>
                    </w:rPr>
                    <w:t>Outcome</w:t>
                  </w:r>
                </w:p>
              </w:tc>
              <w:tc>
                <w:tcPr>
                  <w:tcW w:w="2250" w:type="dxa"/>
                </w:tcPr>
                <w:p w:rsidR="002152D0" w:rsidRPr="009D6EC8" w:rsidRDefault="002152D0" w:rsidP="00781A6B">
                  <w:pPr>
                    <w:ind w:right="464"/>
                    <w:jc w:val="center"/>
                    <w:rPr>
                      <w:rFonts w:cs="Arial"/>
                      <w:b/>
                    </w:rPr>
                  </w:pPr>
                  <w:r w:rsidRPr="009D6EC8">
                    <w:rPr>
                      <w:rFonts w:cs="Arial"/>
                      <w:b/>
                    </w:rPr>
                    <w:t>Completion Date</w:t>
                  </w:r>
                </w:p>
              </w:tc>
            </w:tr>
            <w:tr w:rsidR="002152D0" w:rsidRPr="009D6EC8">
              <w:trPr>
                <w:trHeight w:val="265"/>
              </w:trPr>
              <w:tc>
                <w:tcPr>
                  <w:tcW w:w="7713" w:type="dxa"/>
                </w:tcPr>
                <w:p w:rsidR="002152D0" w:rsidRPr="0074634E" w:rsidRDefault="002152D0" w:rsidP="00781A6B">
                  <w:pPr>
                    <w:ind w:right="464"/>
                    <w:rPr>
                      <w:rFonts w:cs="Arial"/>
                      <w:i/>
                    </w:rPr>
                  </w:pPr>
                  <w:r w:rsidRPr="0074634E">
                    <w:rPr>
                      <w:rFonts w:cs="Arial"/>
                      <w:i/>
                    </w:rPr>
                    <w:t xml:space="preserve">1. </w:t>
                  </w:r>
                  <w:r>
                    <w:rPr>
                      <w:rFonts w:cs="Arial"/>
                      <w:i/>
                    </w:rPr>
                    <w:t>Presentations at in-state scientific conferences (on-going/continuous)</w:t>
                  </w:r>
                </w:p>
              </w:tc>
              <w:tc>
                <w:tcPr>
                  <w:tcW w:w="2250" w:type="dxa"/>
                </w:tcPr>
                <w:p w:rsidR="002152D0" w:rsidRPr="0074634E" w:rsidRDefault="002152D0" w:rsidP="00781A6B">
                  <w:pPr>
                    <w:ind w:right="464"/>
                    <w:rPr>
                      <w:rFonts w:cs="Arial"/>
                    </w:rPr>
                  </w:pPr>
                  <w:r>
                    <w:rPr>
                      <w:rFonts w:cs="Arial"/>
                    </w:rPr>
                    <w:t>June 30</w:t>
                  </w:r>
                  <w:r w:rsidRPr="0074634E">
                    <w:rPr>
                      <w:rFonts w:cs="Arial"/>
                    </w:rPr>
                    <w:t>, 20</w:t>
                  </w:r>
                  <w:r w:rsidR="00D81C14">
                    <w:rPr>
                      <w:rFonts w:cs="Arial"/>
                    </w:rPr>
                    <w:t>23</w:t>
                  </w:r>
                </w:p>
              </w:tc>
            </w:tr>
            <w:tr w:rsidR="002152D0" w:rsidRPr="009D6EC8">
              <w:trPr>
                <w:trHeight w:val="265"/>
              </w:trPr>
              <w:tc>
                <w:tcPr>
                  <w:tcW w:w="7713" w:type="dxa"/>
                </w:tcPr>
                <w:p w:rsidR="002152D0" w:rsidRPr="0074634E" w:rsidRDefault="002152D0" w:rsidP="00781A6B">
                  <w:pPr>
                    <w:ind w:right="464"/>
                    <w:rPr>
                      <w:rFonts w:cs="Arial"/>
                      <w:i/>
                    </w:rPr>
                  </w:pPr>
                  <w:r>
                    <w:rPr>
                      <w:rFonts w:cs="Arial"/>
                      <w:i/>
                    </w:rPr>
                    <w:t>2</w:t>
                  </w:r>
                  <w:r w:rsidRPr="0074634E">
                    <w:rPr>
                      <w:rFonts w:cs="Arial"/>
                      <w:i/>
                    </w:rPr>
                    <w:t xml:space="preserve">. </w:t>
                  </w:r>
                  <w:r>
                    <w:rPr>
                      <w:rFonts w:cs="Arial"/>
                      <w:i/>
                    </w:rPr>
                    <w:t>Meetings with stakeholders to disseminate results (on-going/continuous)</w:t>
                  </w:r>
                </w:p>
              </w:tc>
              <w:tc>
                <w:tcPr>
                  <w:tcW w:w="2250" w:type="dxa"/>
                </w:tcPr>
                <w:p w:rsidR="002152D0" w:rsidRPr="0074634E" w:rsidRDefault="002152D0" w:rsidP="00781A6B">
                  <w:pPr>
                    <w:ind w:right="464"/>
                    <w:rPr>
                      <w:rFonts w:cs="Arial"/>
                    </w:rPr>
                  </w:pPr>
                  <w:r>
                    <w:rPr>
                      <w:rFonts w:cs="Arial"/>
                    </w:rPr>
                    <w:t>June 30</w:t>
                  </w:r>
                  <w:r w:rsidRPr="0074634E">
                    <w:rPr>
                      <w:rFonts w:cs="Arial"/>
                    </w:rPr>
                    <w:t>, 20</w:t>
                  </w:r>
                  <w:r w:rsidR="00D81C14">
                    <w:rPr>
                      <w:rFonts w:cs="Arial"/>
                    </w:rPr>
                    <w:t>23</w:t>
                  </w:r>
                </w:p>
              </w:tc>
            </w:tr>
          </w:tbl>
          <w:p w:rsidR="002152D0" w:rsidRPr="00217C2A" w:rsidRDefault="002152D0" w:rsidP="00781A6B">
            <w:pPr>
              <w:autoSpaceDE w:val="0"/>
              <w:autoSpaceDN w:val="0"/>
              <w:adjustRightInd w:val="0"/>
              <w:ind w:right="464"/>
              <w:rPr>
                <w:sz w:val="18"/>
                <w:szCs w:val="18"/>
              </w:rPr>
            </w:pPr>
          </w:p>
        </w:tc>
        <w:tc>
          <w:tcPr>
            <w:tcW w:w="273" w:type="dxa"/>
          </w:tcPr>
          <w:p w:rsidR="002152D0" w:rsidRPr="00EB5831" w:rsidRDefault="002152D0" w:rsidP="0064538C">
            <w:pPr>
              <w:rPr>
                <w:rFonts w:cs="Arial"/>
              </w:rPr>
            </w:pPr>
          </w:p>
        </w:tc>
      </w:tr>
    </w:tbl>
    <w:p w:rsidR="00C02DAD" w:rsidRPr="00E30687" w:rsidRDefault="00C02DAD" w:rsidP="005431D4">
      <w:pPr>
        <w:tabs>
          <w:tab w:val="left" w:pos="540"/>
        </w:tabs>
        <w:autoSpaceDE w:val="0"/>
        <w:autoSpaceDN w:val="0"/>
        <w:adjustRightInd w:val="0"/>
        <w:rPr>
          <w:rFonts w:cs="Arial"/>
          <w:i/>
          <w:sz w:val="18"/>
          <w:szCs w:val="18"/>
        </w:rPr>
      </w:pPr>
    </w:p>
    <w:p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D81C14" w:rsidRDefault="00D81C14" w:rsidP="00D81C14">
      <w:pPr>
        <w:widowControl w:val="0"/>
      </w:pPr>
      <w:r w:rsidRPr="005017AB">
        <w:rPr>
          <w:iCs/>
        </w:rPr>
        <w:t xml:space="preserve">The project </w:t>
      </w:r>
      <w:r>
        <w:rPr>
          <w:iCs/>
        </w:rPr>
        <w:t xml:space="preserve">team </w:t>
      </w:r>
      <w:r w:rsidRPr="005017AB">
        <w:rPr>
          <w:iCs/>
        </w:rPr>
        <w:t xml:space="preserve">will be led by </w:t>
      </w:r>
      <w:r>
        <w:rPr>
          <w:iCs/>
        </w:rPr>
        <w:t>Drs. Raymond Hozalski and Timothy LaPara (University of Minnesota</w:t>
      </w:r>
      <w:r w:rsidRPr="005017AB">
        <w:rPr>
          <w:iCs/>
        </w:rPr>
        <w:t>, Dep</w:t>
      </w:r>
      <w:r>
        <w:rPr>
          <w:iCs/>
        </w:rPr>
        <w:t>artment</w:t>
      </w:r>
      <w:r w:rsidRPr="005017AB">
        <w:rPr>
          <w:iCs/>
        </w:rPr>
        <w:t xml:space="preserve"> of Civil</w:t>
      </w:r>
      <w:r>
        <w:rPr>
          <w:iCs/>
        </w:rPr>
        <w:t>, Environmental, &amp; Geo-</w:t>
      </w:r>
      <w:r w:rsidRPr="005017AB">
        <w:rPr>
          <w:iCs/>
        </w:rPr>
        <w:t>Engineering)</w:t>
      </w:r>
      <w:r>
        <w:rPr>
          <w:iCs/>
        </w:rPr>
        <w:t xml:space="preserve"> wh</w:t>
      </w:r>
      <w:r>
        <w:t>o are experts in water treatment and microbiology</w:t>
      </w:r>
      <w:r w:rsidRPr="005017AB">
        <w:rPr>
          <w:iCs/>
        </w:rPr>
        <w:t xml:space="preserve">. The team </w:t>
      </w:r>
      <w:r>
        <w:rPr>
          <w:iCs/>
        </w:rPr>
        <w:t xml:space="preserve">also </w:t>
      </w:r>
      <w:r w:rsidRPr="005017AB">
        <w:rPr>
          <w:iCs/>
        </w:rPr>
        <w:t xml:space="preserve">will </w:t>
      </w:r>
      <w:r>
        <w:rPr>
          <w:iCs/>
        </w:rPr>
        <w:t xml:space="preserve">include one </w:t>
      </w:r>
      <w:r w:rsidR="004B5E68">
        <w:rPr>
          <w:iCs/>
        </w:rPr>
        <w:t>post-doc</w:t>
      </w:r>
      <w:r>
        <w:rPr>
          <w:iCs/>
        </w:rPr>
        <w:t xml:space="preserve"> and several undergraduate student researchers, MDH, and MRWA</w:t>
      </w:r>
      <w:r>
        <w:t xml:space="preserve">.  </w:t>
      </w:r>
    </w:p>
    <w:p w:rsidR="00D81C14" w:rsidRPr="00E30687" w:rsidRDefault="00D81C14" w:rsidP="006E0EFD">
      <w:pPr>
        <w:rPr>
          <w:rFonts w:cs="Arial"/>
          <w:b/>
          <w:sz w:val="18"/>
          <w:szCs w:val="18"/>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D81C14" w:rsidRDefault="00D81C14" w:rsidP="00D81C14">
      <w:pPr>
        <w:widowControl w:val="0"/>
      </w:pPr>
      <w:r w:rsidRPr="00935220">
        <w:t xml:space="preserve">The long-term goal of the proposed research is to </w:t>
      </w:r>
      <w:r>
        <w:t>protect the public health of Minnesotans served by groundwater</w:t>
      </w:r>
      <w:r w:rsidRPr="00935220">
        <w:t xml:space="preserve"> </w:t>
      </w:r>
      <w:r>
        <w:t>resources</w:t>
      </w:r>
      <w:r w:rsidRPr="00935220">
        <w:t>.</w:t>
      </w:r>
      <w:r>
        <w:t xml:space="preserve">  </w:t>
      </w:r>
      <w:r w:rsidR="0064538C">
        <w:rPr>
          <w:rFonts w:cs="Arial"/>
        </w:rPr>
        <w:t xml:space="preserve">The </w:t>
      </w:r>
      <w:r w:rsidR="00BC48BE">
        <w:rPr>
          <w:rFonts w:cs="Arial"/>
        </w:rPr>
        <w:t xml:space="preserve">results from this work could be used to identify regions where MDH should focus attention on additional well water testing and on outreach activities to make sure private well owners are adequately informed of the risks and their options for reducing risk to acceptable levels. </w:t>
      </w:r>
      <w:r w:rsidR="0064538C">
        <w:rPr>
          <w:rFonts w:cs="Arial"/>
        </w:rPr>
        <w:t xml:space="preserve"> </w:t>
      </w:r>
    </w:p>
    <w:p w:rsidR="00C02DAD" w:rsidRPr="00E30687" w:rsidRDefault="00186FCC" w:rsidP="00186FCC">
      <w:pPr>
        <w:tabs>
          <w:tab w:val="left" w:pos="7185"/>
        </w:tabs>
        <w:rPr>
          <w:rFonts w:cs="Arial"/>
          <w:b/>
          <w:sz w:val="18"/>
          <w:szCs w:val="18"/>
        </w:rPr>
      </w:pPr>
      <w:r w:rsidRPr="00E30687">
        <w:rPr>
          <w:rFonts w:cs="Arial"/>
          <w:b/>
          <w:sz w:val="18"/>
          <w:szCs w:val="18"/>
        </w:rPr>
        <w:tab/>
      </w:r>
    </w:p>
    <w:p w:rsidR="00C02DAD" w:rsidRDefault="0029726A" w:rsidP="00AC6427">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0A26B2" w:rsidRDefault="00C02DAD" w:rsidP="00AC6427">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sectPr w:rsidR="00C02DAD" w:rsidRPr="000A26B2"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8BE" w:rsidRDefault="00BC48BE" w:rsidP="00533120">
      <w:r>
        <w:separator/>
      </w:r>
    </w:p>
  </w:endnote>
  <w:endnote w:type="continuationSeparator" w:id="0">
    <w:p w:rsidR="00BC48BE" w:rsidRDefault="00BC48BE" w:rsidP="00533120">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BE" w:rsidRDefault="00BC48B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BE" w:rsidRDefault="00236A5F">
    <w:pPr>
      <w:pStyle w:val="Footer"/>
      <w:jc w:val="center"/>
    </w:pPr>
    <w:fldSimple w:instr=" PAGE   \* MERGEFORMAT ">
      <w:r w:rsidR="001B3FC4">
        <w:rPr>
          <w:noProof/>
        </w:rPr>
        <w:t>2</w:t>
      </w:r>
    </w:fldSimple>
  </w:p>
  <w:p w:rsidR="00BC48BE" w:rsidRDefault="00BC48BE">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BE" w:rsidRDefault="00236A5F" w:rsidP="00C72BD9">
    <w:pPr>
      <w:pStyle w:val="Footer"/>
      <w:jc w:val="center"/>
    </w:pPr>
    <w:fldSimple w:instr=" PAGE   \* MERGEFORMAT ">
      <w:r w:rsidR="00BC48BE">
        <w:rPr>
          <w:noProof/>
        </w:rPr>
        <w:t>1</w:t>
      </w:r>
    </w:fldSimple>
  </w:p>
  <w:p w:rsidR="00BC48BE" w:rsidRDefault="00BC48B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8BE" w:rsidRDefault="00BC48BE" w:rsidP="00533120">
      <w:r>
        <w:separator/>
      </w:r>
    </w:p>
  </w:footnote>
  <w:footnote w:type="continuationSeparator" w:id="0">
    <w:p w:rsidR="00BC48BE" w:rsidRDefault="00BC48BE" w:rsidP="0053312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BE" w:rsidRDefault="00BC48BE">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278"/>
      <w:gridCol w:w="9000"/>
    </w:tblGrid>
    <w:tr w:rsidR="00BC48BE">
      <w:tc>
        <w:tcPr>
          <w:tcW w:w="1278" w:type="dxa"/>
        </w:tcPr>
        <w:p w:rsidR="00BC48BE" w:rsidRPr="00EB5831" w:rsidRDefault="00BC48BE" w:rsidP="00E47145">
          <w:pPr>
            <w:pStyle w:val="Header"/>
            <w:tabs>
              <w:tab w:val="clear" w:pos="4680"/>
              <w:tab w:val="clear" w:pos="9360"/>
            </w:tabs>
          </w:pPr>
          <w:r>
            <w:rPr>
              <w:noProof/>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BC48BE" w:rsidRPr="00A42E60" w:rsidRDefault="00BC48BE" w:rsidP="00EB5831">
          <w:pPr>
            <w:rPr>
              <w:b/>
            </w:rPr>
          </w:pPr>
          <w:r w:rsidRPr="00A42E60">
            <w:rPr>
              <w:b/>
            </w:rPr>
            <w:t>Environment and Natural Resources Trust Fund (ENRTF)</w:t>
          </w:r>
        </w:p>
        <w:p w:rsidR="00BC48BE" w:rsidRPr="00EB5831" w:rsidRDefault="00BC48BE" w:rsidP="00EB5831">
          <w:pPr>
            <w:pStyle w:val="Header"/>
            <w:rPr>
              <w:b/>
            </w:rPr>
          </w:pPr>
          <w:r>
            <w:rPr>
              <w:b/>
            </w:rPr>
            <w:t>2020</w:t>
          </w:r>
          <w:r w:rsidRPr="00EB5831">
            <w:rPr>
              <w:b/>
            </w:rPr>
            <w:t xml:space="preserve"> Main Proposal</w:t>
          </w:r>
          <w:r>
            <w:rPr>
              <w:b/>
            </w:rPr>
            <w:t xml:space="preserve"> Template</w:t>
          </w:r>
        </w:p>
        <w:p w:rsidR="00BC48BE" w:rsidRPr="00EB5831" w:rsidRDefault="00BC48BE" w:rsidP="00EB5831">
          <w:pPr>
            <w:pStyle w:val="Header"/>
          </w:pPr>
        </w:p>
      </w:tc>
    </w:tr>
  </w:tbl>
  <w:p w:rsidR="00BC48BE" w:rsidRPr="00A42E60" w:rsidRDefault="00BC48BE" w:rsidP="00A42E60">
    <w:pPr>
      <w:pStyle w:val="Header"/>
      <w:rPr>
        <w:sz w:val="2"/>
        <w:szCs w:val="2"/>
      </w:rP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098"/>
      <w:gridCol w:w="8478"/>
    </w:tblGrid>
    <w:tr w:rsidR="00BC48BE">
      <w:tc>
        <w:tcPr>
          <w:tcW w:w="1098" w:type="dxa"/>
        </w:tcPr>
        <w:p w:rsidR="00BC48BE" w:rsidRPr="00EB5831" w:rsidRDefault="00BC48BE" w:rsidP="00C660F0">
          <w:pPr>
            <w:pStyle w:val="Header"/>
          </w:pPr>
          <w:r>
            <w:rPr>
              <w:noProof/>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BC48BE" w:rsidRPr="00A42E60" w:rsidRDefault="00BC48BE" w:rsidP="00C660F0">
          <w:pPr>
            <w:rPr>
              <w:b/>
            </w:rPr>
          </w:pPr>
          <w:r w:rsidRPr="00A42E60">
            <w:rPr>
              <w:b/>
            </w:rPr>
            <w:t>Environment and Natural Resources Trust Fund (ENRTF)</w:t>
          </w:r>
        </w:p>
        <w:p w:rsidR="00BC48BE" w:rsidRPr="00EB5831" w:rsidRDefault="00BC48BE" w:rsidP="00806460">
          <w:pPr>
            <w:pStyle w:val="Header"/>
            <w:rPr>
              <w:b/>
            </w:rPr>
          </w:pPr>
          <w:r w:rsidRPr="00EB5831">
            <w:rPr>
              <w:b/>
            </w:rPr>
            <w:t>2014 Main Proposal</w:t>
          </w:r>
        </w:p>
        <w:p w:rsidR="00BC48BE" w:rsidRPr="00EB5831" w:rsidRDefault="00BC48BE" w:rsidP="00806460">
          <w:pPr>
            <w:pStyle w:val="Header"/>
          </w:pPr>
          <w:r w:rsidRPr="00EB5831">
            <w:rPr>
              <w:b/>
            </w:rPr>
            <w:t xml:space="preserve">Project Title: </w:t>
          </w:r>
          <w:r w:rsidRPr="00EB5831">
            <w:rPr>
              <w:i/>
            </w:rPr>
            <w:t>[Insert “Project Title” here in document header]</w:t>
          </w:r>
        </w:p>
      </w:tc>
    </w:tr>
  </w:tbl>
  <w:p w:rsidR="00BC48BE" w:rsidRPr="00F96203" w:rsidRDefault="00BC48BE">
    <w:pPr>
      <w:pStyle w:val="Header"/>
      <w:rPr>
        <w:sz w:val="2"/>
        <w:szCs w:val="2"/>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6E0EFD"/>
    <w:rsid w:val="00020FA1"/>
    <w:rsid w:val="00026995"/>
    <w:rsid w:val="00061EF5"/>
    <w:rsid w:val="00062497"/>
    <w:rsid w:val="00065366"/>
    <w:rsid w:val="00073C96"/>
    <w:rsid w:val="000A658E"/>
    <w:rsid w:val="000B34BA"/>
    <w:rsid w:val="000C3EF3"/>
    <w:rsid w:val="000D7F31"/>
    <w:rsid w:val="00100A34"/>
    <w:rsid w:val="00107495"/>
    <w:rsid w:val="001225BC"/>
    <w:rsid w:val="00165716"/>
    <w:rsid w:val="0017404C"/>
    <w:rsid w:val="0018005E"/>
    <w:rsid w:val="00186FCC"/>
    <w:rsid w:val="001B0368"/>
    <w:rsid w:val="001B3FC4"/>
    <w:rsid w:val="001C25DE"/>
    <w:rsid w:val="001E42AC"/>
    <w:rsid w:val="002152D0"/>
    <w:rsid w:val="002159DD"/>
    <w:rsid w:val="00217C2A"/>
    <w:rsid w:val="00236A5F"/>
    <w:rsid w:val="00290E4E"/>
    <w:rsid w:val="0029726A"/>
    <w:rsid w:val="002B469A"/>
    <w:rsid w:val="002F694B"/>
    <w:rsid w:val="003205A7"/>
    <w:rsid w:val="003239FE"/>
    <w:rsid w:val="00347E7A"/>
    <w:rsid w:val="00351EA6"/>
    <w:rsid w:val="00354888"/>
    <w:rsid w:val="003578A0"/>
    <w:rsid w:val="0037310D"/>
    <w:rsid w:val="00375F15"/>
    <w:rsid w:val="0039481E"/>
    <w:rsid w:val="003F32CA"/>
    <w:rsid w:val="00404B9C"/>
    <w:rsid w:val="00407D77"/>
    <w:rsid w:val="00424D35"/>
    <w:rsid w:val="00434379"/>
    <w:rsid w:val="004357AE"/>
    <w:rsid w:val="004530F7"/>
    <w:rsid w:val="00454495"/>
    <w:rsid w:val="00487D08"/>
    <w:rsid w:val="0049103C"/>
    <w:rsid w:val="004A43B9"/>
    <w:rsid w:val="004A4BE4"/>
    <w:rsid w:val="004B5E68"/>
    <w:rsid w:val="004E6113"/>
    <w:rsid w:val="005047DA"/>
    <w:rsid w:val="00533120"/>
    <w:rsid w:val="005431D4"/>
    <w:rsid w:val="00550B29"/>
    <w:rsid w:val="00556A0B"/>
    <w:rsid w:val="005641C1"/>
    <w:rsid w:val="005648A9"/>
    <w:rsid w:val="005A1D00"/>
    <w:rsid w:val="005A4FB1"/>
    <w:rsid w:val="005D662C"/>
    <w:rsid w:val="005F0DBA"/>
    <w:rsid w:val="005F1006"/>
    <w:rsid w:val="005F7237"/>
    <w:rsid w:val="00602068"/>
    <w:rsid w:val="00614DF2"/>
    <w:rsid w:val="00640A9A"/>
    <w:rsid w:val="0064538C"/>
    <w:rsid w:val="006562F0"/>
    <w:rsid w:val="00686B53"/>
    <w:rsid w:val="006E0EFD"/>
    <w:rsid w:val="006F7F24"/>
    <w:rsid w:val="00721661"/>
    <w:rsid w:val="00731A65"/>
    <w:rsid w:val="00781A6B"/>
    <w:rsid w:val="007936A9"/>
    <w:rsid w:val="007B284F"/>
    <w:rsid w:val="007B3535"/>
    <w:rsid w:val="00806460"/>
    <w:rsid w:val="008076FB"/>
    <w:rsid w:val="00853F30"/>
    <w:rsid w:val="008949EE"/>
    <w:rsid w:val="008A088E"/>
    <w:rsid w:val="008A4498"/>
    <w:rsid w:val="008A5FD9"/>
    <w:rsid w:val="008D2242"/>
    <w:rsid w:val="00910DB8"/>
    <w:rsid w:val="00912C65"/>
    <w:rsid w:val="009541C4"/>
    <w:rsid w:val="00967087"/>
    <w:rsid w:val="009A49DE"/>
    <w:rsid w:val="009A75A0"/>
    <w:rsid w:val="009B6749"/>
    <w:rsid w:val="009C4875"/>
    <w:rsid w:val="009D0E57"/>
    <w:rsid w:val="009D14B4"/>
    <w:rsid w:val="009D6EC8"/>
    <w:rsid w:val="00A03E0A"/>
    <w:rsid w:val="00A13F26"/>
    <w:rsid w:val="00A42E60"/>
    <w:rsid w:val="00A45A41"/>
    <w:rsid w:val="00A7257F"/>
    <w:rsid w:val="00A73B75"/>
    <w:rsid w:val="00A82EAB"/>
    <w:rsid w:val="00AB6CFF"/>
    <w:rsid w:val="00AC2C07"/>
    <w:rsid w:val="00AC2CDE"/>
    <w:rsid w:val="00AC6427"/>
    <w:rsid w:val="00AD3337"/>
    <w:rsid w:val="00B728BF"/>
    <w:rsid w:val="00B8369A"/>
    <w:rsid w:val="00B86A22"/>
    <w:rsid w:val="00BC28A6"/>
    <w:rsid w:val="00BC48BE"/>
    <w:rsid w:val="00C02DAD"/>
    <w:rsid w:val="00C65A8D"/>
    <w:rsid w:val="00C660F0"/>
    <w:rsid w:val="00C72BD9"/>
    <w:rsid w:val="00C82CD3"/>
    <w:rsid w:val="00C85E92"/>
    <w:rsid w:val="00C952E4"/>
    <w:rsid w:val="00CA08FE"/>
    <w:rsid w:val="00CB652D"/>
    <w:rsid w:val="00CE20AC"/>
    <w:rsid w:val="00D02E23"/>
    <w:rsid w:val="00D121DD"/>
    <w:rsid w:val="00D25619"/>
    <w:rsid w:val="00D32CFB"/>
    <w:rsid w:val="00D51B9D"/>
    <w:rsid w:val="00D81C14"/>
    <w:rsid w:val="00DD31DF"/>
    <w:rsid w:val="00E00914"/>
    <w:rsid w:val="00E30687"/>
    <w:rsid w:val="00E47145"/>
    <w:rsid w:val="00E5279E"/>
    <w:rsid w:val="00E619C4"/>
    <w:rsid w:val="00E76D57"/>
    <w:rsid w:val="00EB5831"/>
    <w:rsid w:val="00ED01C6"/>
    <w:rsid w:val="00F168A8"/>
    <w:rsid w:val="00F42507"/>
    <w:rsid w:val="00F70DE4"/>
    <w:rsid w:val="00F9232B"/>
    <w:rsid w:val="00F92864"/>
    <w:rsid w:val="00F96203"/>
    <w:rsid w:val="00F97C94"/>
    <w:rsid w:val="00FF1689"/>
    <w:rsid w:val="00FF28D7"/>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152D0"/>
    <w:rPr>
      <w:sz w:val="18"/>
      <w:szCs w:val="18"/>
    </w:rPr>
  </w:style>
  <w:style w:type="paragraph" w:styleId="CommentText">
    <w:name w:val="annotation text"/>
    <w:basedOn w:val="Normal"/>
    <w:link w:val="CommentTextChar"/>
    <w:uiPriority w:val="99"/>
    <w:semiHidden/>
    <w:unhideWhenUsed/>
    <w:rsid w:val="002152D0"/>
    <w:rPr>
      <w:sz w:val="24"/>
      <w:szCs w:val="24"/>
    </w:rPr>
  </w:style>
  <w:style w:type="character" w:customStyle="1" w:styleId="CommentTextChar">
    <w:name w:val="Comment Text Char"/>
    <w:basedOn w:val="DefaultParagraphFont"/>
    <w:link w:val="CommentText"/>
    <w:uiPriority w:val="99"/>
    <w:semiHidden/>
    <w:rsid w:val="002152D0"/>
    <w:rPr>
      <w:sz w:val="24"/>
      <w:szCs w:val="24"/>
    </w:rPr>
  </w:style>
  <w:style w:type="paragraph" w:styleId="CommentSubject">
    <w:name w:val="annotation subject"/>
    <w:basedOn w:val="CommentText"/>
    <w:next w:val="CommentText"/>
    <w:link w:val="CommentSubjectChar"/>
    <w:uiPriority w:val="99"/>
    <w:semiHidden/>
    <w:unhideWhenUsed/>
    <w:rsid w:val="005641C1"/>
    <w:rPr>
      <w:b/>
      <w:bCs/>
      <w:sz w:val="20"/>
      <w:szCs w:val="20"/>
    </w:rPr>
  </w:style>
  <w:style w:type="character" w:customStyle="1" w:styleId="CommentSubjectChar">
    <w:name w:val="Comment Subject Char"/>
    <w:basedOn w:val="CommentTextChar"/>
    <w:link w:val="CommentSubject"/>
    <w:uiPriority w:val="99"/>
    <w:semiHidden/>
    <w:rsid w:val="005641C1"/>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152D0"/>
    <w:rPr>
      <w:sz w:val="18"/>
      <w:szCs w:val="18"/>
    </w:rPr>
  </w:style>
  <w:style w:type="paragraph" w:styleId="CommentText">
    <w:name w:val="annotation text"/>
    <w:basedOn w:val="Normal"/>
    <w:link w:val="CommentTextChar"/>
    <w:uiPriority w:val="99"/>
    <w:semiHidden/>
    <w:unhideWhenUsed/>
    <w:rsid w:val="002152D0"/>
    <w:rPr>
      <w:sz w:val="24"/>
      <w:szCs w:val="24"/>
    </w:rPr>
  </w:style>
  <w:style w:type="character" w:customStyle="1" w:styleId="CommentTextChar">
    <w:name w:val="Comment Text Char"/>
    <w:basedOn w:val="DefaultParagraphFont"/>
    <w:link w:val="CommentText"/>
    <w:uiPriority w:val="99"/>
    <w:semiHidden/>
    <w:rsid w:val="002152D0"/>
    <w:rPr>
      <w:sz w:val="24"/>
      <w:szCs w:val="24"/>
    </w:rPr>
  </w:style>
  <w:style w:type="paragraph" w:styleId="CommentSubject">
    <w:name w:val="annotation subject"/>
    <w:basedOn w:val="CommentText"/>
    <w:next w:val="CommentText"/>
    <w:link w:val="CommentSubjectChar"/>
    <w:uiPriority w:val="99"/>
    <w:semiHidden/>
    <w:unhideWhenUsed/>
    <w:rsid w:val="005641C1"/>
    <w:rPr>
      <w:b/>
      <w:bCs/>
      <w:sz w:val="20"/>
      <w:szCs w:val="20"/>
    </w:rPr>
  </w:style>
  <w:style w:type="character" w:customStyle="1" w:styleId="CommentSubjectChar">
    <w:name w:val="Comment Subject Char"/>
    <w:basedOn w:val="CommentTextChar"/>
    <w:link w:val="CommentSubject"/>
    <w:uiPriority w:val="99"/>
    <w:semiHidden/>
    <w:rsid w:val="005641C1"/>
    <w:rPr>
      <w:b/>
      <w:bCs/>
      <w:sz w:val="24"/>
      <w:szCs w:val="24"/>
    </w:rPr>
  </w:style>
</w:styles>
</file>

<file path=word/webSettings.xml><?xml version="1.0" encoding="utf-8"?>
<w:webSettings xmlns:r="http://schemas.openxmlformats.org/officeDocument/2006/relationships" xmlns:w="http://schemas.openxmlformats.org/wordprocessingml/2006/main">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1096</Words>
  <Characters>6251</Characters>
  <Application>Microsoft Macintosh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Raymond Hozalski</cp:lastModifiedBy>
  <cp:revision>3</cp:revision>
  <cp:lastPrinted>2018-11-29T16:36:00Z</cp:lastPrinted>
  <dcterms:created xsi:type="dcterms:W3CDTF">2019-04-09T18:58:00Z</dcterms:created>
  <dcterms:modified xsi:type="dcterms:W3CDTF">2019-04-09T19:00:00Z</dcterms:modified>
</cp:coreProperties>
</file>