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953787">
        <w:rPr>
          <w:rFonts w:cs="Arial"/>
          <w:b/>
        </w:rPr>
        <w:t xml:space="preserve"> </w:t>
      </w:r>
      <w:r w:rsidR="00AE6148">
        <w:rPr>
          <w:rFonts w:cs="Arial"/>
          <w:b/>
        </w:rPr>
        <w:t>Our Future Drinking Water: Nitrate</w:t>
      </w:r>
      <w:r w:rsidR="00313D98">
        <w:rPr>
          <w:rFonts w:cs="Arial"/>
          <w:b/>
        </w:rPr>
        <w:t>, Tile, and Climate</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C93C7F" w:rsidRPr="008A688A" w:rsidRDefault="00313D98" w:rsidP="00313D98">
      <w:pPr>
        <w:rPr>
          <w:rFonts w:cs="Arial"/>
          <w:b/>
          <w:i/>
        </w:rPr>
      </w:pPr>
      <w:r w:rsidRPr="00313D98">
        <w:rPr>
          <w:rFonts w:cs="Arial"/>
          <w:b/>
        </w:rPr>
        <w:t xml:space="preserve">• Summary:  </w:t>
      </w:r>
      <w:r w:rsidR="00C93C7F" w:rsidRPr="00C93C7F">
        <w:rPr>
          <w:rFonts w:cs="Arial"/>
          <w:b/>
          <w:i/>
        </w:rPr>
        <w:t>We will evaluate how to reduce nitrate in rural drinking water and how tile drainage and climate change impact replenishment of drinking water, i.e., groundwater recharge.</w:t>
      </w:r>
      <w:r w:rsidR="008A688A">
        <w:rPr>
          <w:rFonts w:cs="Arial"/>
          <w:b/>
          <w:i/>
        </w:rPr>
        <w:t xml:space="preserve">  </w:t>
      </w:r>
    </w:p>
    <w:p w:rsidR="00313D98" w:rsidRDefault="009C2C6B" w:rsidP="00313D98">
      <w:pPr>
        <w:rPr>
          <w:rFonts w:cs="Arial"/>
        </w:rPr>
      </w:pPr>
      <w:r>
        <w:rPr>
          <w:rFonts w:cs="Arial"/>
        </w:rPr>
        <w:t>Using the Vermillion River watershed in Dakota County as our test site, we will do the following:</w:t>
      </w:r>
    </w:p>
    <w:p w:rsidR="00312C47" w:rsidRDefault="00312C47" w:rsidP="00312C47">
      <w:pPr>
        <w:ind w:left="540" w:hanging="180"/>
        <w:rPr>
          <w:rFonts w:cs="Arial"/>
        </w:rPr>
      </w:pPr>
      <w:r>
        <w:rPr>
          <w:rFonts w:cs="Arial"/>
        </w:rPr>
        <w:t>• Find where groundwater recharge occurs (replenishment of drinking water), and how tile drainage</w:t>
      </w:r>
      <w:r w:rsidRPr="003C451C">
        <w:rPr>
          <w:rFonts w:cs="Arial"/>
        </w:rPr>
        <w:t xml:space="preserve"> </w:t>
      </w:r>
      <w:r w:rsidR="00292996">
        <w:rPr>
          <w:rFonts w:cs="Arial"/>
        </w:rPr>
        <w:t xml:space="preserve">reduces it.  </w:t>
      </w:r>
      <w:r w:rsidR="00292996" w:rsidRPr="00292996">
        <w:rPr>
          <w:rFonts w:cs="Arial"/>
          <w:i/>
        </w:rPr>
        <w:t>This is quantitatively unknown.</w:t>
      </w:r>
      <w:r w:rsidR="00292996">
        <w:rPr>
          <w:rFonts w:cs="Arial"/>
        </w:rPr>
        <w:t xml:space="preserve"> </w:t>
      </w:r>
    </w:p>
    <w:p w:rsidR="00D961C0" w:rsidRDefault="009C2C6B" w:rsidP="00C45B13">
      <w:pPr>
        <w:ind w:left="540" w:hanging="180"/>
        <w:rPr>
          <w:rFonts w:cs="Arial"/>
        </w:rPr>
      </w:pPr>
      <w:r>
        <w:rPr>
          <w:rFonts w:cs="Arial"/>
        </w:rPr>
        <w:t xml:space="preserve">• </w:t>
      </w:r>
      <w:r w:rsidR="00D961C0">
        <w:rPr>
          <w:rFonts w:cs="Arial"/>
        </w:rPr>
        <w:t>Find where on the landscape nitrate originates</w:t>
      </w:r>
      <w:r w:rsidR="005C7C27">
        <w:rPr>
          <w:rFonts w:cs="Arial"/>
        </w:rPr>
        <w:t>.</w:t>
      </w:r>
      <w:r w:rsidR="00E921BB">
        <w:rPr>
          <w:rFonts w:cs="Arial"/>
        </w:rPr>
        <w:t xml:space="preserve">  </w:t>
      </w:r>
      <w:r w:rsidR="00E921BB" w:rsidRPr="00E921BB">
        <w:rPr>
          <w:rFonts w:cs="Arial"/>
          <w:i/>
        </w:rPr>
        <w:t>Spatial targeting.</w:t>
      </w:r>
      <w:r w:rsidR="00E921BB">
        <w:rPr>
          <w:rFonts w:cs="Arial"/>
        </w:rPr>
        <w:t xml:space="preserve"> </w:t>
      </w:r>
    </w:p>
    <w:p w:rsidR="00D961C0" w:rsidRDefault="00D961C0" w:rsidP="00C45B13">
      <w:pPr>
        <w:ind w:left="540" w:hanging="180"/>
        <w:rPr>
          <w:rFonts w:cs="Arial"/>
        </w:rPr>
      </w:pPr>
      <w:r>
        <w:rPr>
          <w:rFonts w:cs="Arial"/>
        </w:rPr>
        <w:t xml:space="preserve">• Evaluate alternative land-management practices to reduce this nitrate, in terms of </w:t>
      </w:r>
      <w:r w:rsidR="00785D2C">
        <w:rPr>
          <w:rFonts w:cs="Arial"/>
        </w:rPr>
        <w:t>the following:</w:t>
      </w:r>
    </w:p>
    <w:p w:rsidR="00D961C0" w:rsidRDefault="00D961C0" w:rsidP="00C45B13">
      <w:pPr>
        <w:ind w:left="900" w:hanging="180"/>
        <w:rPr>
          <w:rFonts w:cs="Arial"/>
        </w:rPr>
      </w:pPr>
      <w:r>
        <w:rPr>
          <w:rFonts w:cs="Arial"/>
        </w:rPr>
        <w:t>• How much is nitrate reduced?</w:t>
      </w:r>
      <w:r w:rsidR="00B874D1">
        <w:rPr>
          <w:rFonts w:cs="Arial"/>
        </w:rPr>
        <w:t xml:space="preserve"> </w:t>
      </w:r>
      <w:r w:rsidR="00E921BB">
        <w:rPr>
          <w:rFonts w:cs="Arial"/>
        </w:rPr>
        <w:t xml:space="preserve"> </w:t>
      </w:r>
      <w:r w:rsidR="00E921BB" w:rsidRPr="00E921BB">
        <w:rPr>
          <w:rFonts w:cs="Arial"/>
          <w:i/>
        </w:rPr>
        <w:t xml:space="preserve">Testing the </w:t>
      </w:r>
      <w:r w:rsidR="00E921BB">
        <w:rPr>
          <w:rFonts w:cs="Arial"/>
          <w:i/>
        </w:rPr>
        <w:t>options</w:t>
      </w:r>
      <w:r w:rsidR="00E921BB" w:rsidRPr="00E921BB">
        <w:rPr>
          <w:rFonts w:cs="Arial"/>
          <w:i/>
        </w:rPr>
        <w:t>.</w:t>
      </w:r>
      <w:r w:rsidR="00E921BB">
        <w:rPr>
          <w:rFonts w:cs="Arial"/>
        </w:rPr>
        <w:t xml:space="preserve"> </w:t>
      </w:r>
    </w:p>
    <w:p w:rsidR="00667844" w:rsidRDefault="00D961C0" w:rsidP="00C45B13">
      <w:pPr>
        <w:ind w:left="900" w:hanging="180"/>
      </w:pPr>
      <w:r>
        <w:rPr>
          <w:rFonts w:cs="Arial"/>
        </w:rPr>
        <w:t>•</w:t>
      </w:r>
      <w:r>
        <w:t xml:space="preserve"> How much does it cost</w:t>
      </w:r>
      <w:r w:rsidR="002315A6">
        <w:t xml:space="preserve"> to reduce nitrate</w:t>
      </w:r>
      <w:r w:rsidR="00312C47">
        <w:t>?  I</w:t>
      </w:r>
      <w:r>
        <w:t xml:space="preserve">s it cost-effective? </w:t>
      </w:r>
      <w:r w:rsidR="00B874D1">
        <w:t xml:space="preserve"> </w:t>
      </w:r>
      <w:r w:rsidR="00B874D1" w:rsidRPr="00B874D1">
        <w:rPr>
          <w:i/>
        </w:rPr>
        <w:t>This is usually ignored.</w:t>
      </w:r>
      <w:r w:rsidR="00B874D1">
        <w:t xml:space="preserve"> </w:t>
      </w:r>
      <w:r w:rsidR="00B2694E">
        <w:t xml:space="preserve"> </w:t>
      </w:r>
    </w:p>
    <w:p w:rsidR="00D961C0" w:rsidRPr="00D961C0" w:rsidRDefault="00D961C0" w:rsidP="00C45B13">
      <w:pPr>
        <w:ind w:left="900" w:hanging="180"/>
      </w:pPr>
      <w:r>
        <w:t xml:space="preserve">• How long will it take to see the improvement? </w:t>
      </w:r>
      <w:r w:rsidR="00B874D1">
        <w:t xml:space="preserve"> </w:t>
      </w:r>
      <w:r w:rsidR="00B874D1" w:rsidRPr="00B874D1">
        <w:rPr>
          <w:i/>
        </w:rPr>
        <w:t>This is virtually unknown.</w:t>
      </w:r>
      <w:r w:rsidR="00B2694E">
        <w:t xml:space="preserve"> </w:t>
      </w:r>
    </w:p>
    <w:p w:rsidR="008A688A" w:rsidRDefault="008A688A" w:rsidP="00C45B13">
      <w:pPr>
        <w:ind w:left="540" w:hanging="180"/>
        <w:rPr>
          <w:rFonts w:cs="Arial"/>
        </w:rPr>
      </w:pPr>
      <w:r>
        <w:rPr>
          <w:rFonts w:cs="Arial"/>
        </w:rPr>
        <w:t>• Evaluate what drinking water supply</w:t>
      </w:r>
      <w:r w:rsidR="00785D2C">
        <w:rPr>
          <w:rFonts w:cs="Arial"/>
        </w:rPr>
        <w:t xml:space="preserve"> will be over the next 80 years</w:t>
      </w:r>
      <w:r w:rsidR="00254DE5">
        <w:rPr>
          <w:rFonts w:cs="Arial"/>
        </w:rPr>
        <w:t>.</w:t>
      </w:r>
      <w:r>
        <w:rPr>
          <w:rFonts w:cs="Arial"/>
        </w:rPr>
        <w:t xml:space="preserve">  </w:t>
      </w:r>
      <w:r w:rsidR="00B874D1" w:rsidRPr="00B874D1">
        <w:rPr>
          <w:rFonts w:cs="Arial"/>
          <w:i/>
        </w:rPr>
        <w:t>This is virtually unknown.</w:t>
      </w:r>
      <w:r w:rsidR="00B874D1">
        <w:rPr>
          <w:rFonts w:cs="Arial"/>
        </w:rPr>
        <w:t xml:space="preserve"> </w:t>
      </w:r>
    </w:p>
    <w:p w:rsidR="007D0830" w:rsidRDefault="007D0830" w:rsidP="00313D98">
      <w:pPr>
        <w:rPr>
          <w:rFonts w:cs="Arial"/>
        </w:rPr>
      </w:pPr>
    </w:p>
    <w:p w:rsidR="00667844" w:rsidRPr="008A688A" w:rsidRDefault="007D0830" w:rsidP="00313D98">
      <w:pPr>
        <w:rPr>
          <w:rFonts w:cs="Arial"/>
          <w:b/>
        </w:rPr>
      </w:pPr>
      <w:r w:rsidRPr="008A688A">
        <w:rPr>
          <w:rFonts w:cs="Arial"/>
          <w:b/>
        </w:rPr>
        <w:t xml:space="preserve">• Rationale: </w:t>
      </w:r>
    </w:p>
    <w:p w:rsidR="00313D98" w:rsidRPr="00313D98" w:rsidRDefault="00313D98" w:rsidP="00313D98">
      <w:pPr>
        <w:rPr>
          <w:rFonts w:cs="Arial"/>
          <w:b/>
        </w:rPr>
      </w:pPr>
      <w:r w:rsidRPr="00313D98">
        <w:rPr>
          <w:rFonts w:cs="Arial"/>
          <w:b/>
        </w:rPr>
        <w:t>• Rural Minnesota deserves abundant and clean drinking water</w:t>
      </w:r>
    </w:p>
    <w:p w:rsidR="00313D98" w:rsidRPr="00313D98" w:rsidRDefault="00313D98" w:rsidP="00313D98">
      <w:pPr>
        <w:ind w:left="540" w:hanging="180"/>
        <w:rPr>
          <w:rFonts w:cs="Arial"/>
        </w:rPr>
      </w:pPr>
      <w:r w:rsidRPr="00313D98">
        <w:rPr>
          <w:rFonts w:cs="Arial"/>
        </w:rPr>
        <w:t xml:space="preserve">• </w:t>
      </w:r>
      <w:r w:rsidR="00C45B13">
        <w:rPr>
          <w:rFonts w:cs="Arial"/>
        </w:rPr>
        <w:t>The quality of rural drinking water (groundwater) is commonly compromised by nitrate pollution</w:t>
      </w:r>
      <w:r w:rsidRPr="00313D98">
        <w:rPr>
          <w:rFonts w:cs="Arial"/>
        </w:rPr>
        <w:t xml:space="preserve">. </w:t>
      </w:r>
      <w:r w:rsidR="00C45B13">
        <w:rPr>
          <w:rFonts w:cs="Arial"/>
        </w:rPr>
        <w:t xml:space="preserve"> We need realistic solutions based </w:t>
      </w:r>
      <w:r w:rsidR="008B2B32">
        <w:rPr>
          <w:rFonts w:cs="Arial"/>
        </w:rPr>
        <w:t xml:space="preserve">on </w:t>
      </w:r>
      <w:r w:rsidR="00C45B13">
        <w:rPr>
          <w:rFonts w:cs="Arial"/>
        </w:rPr>
        <w:t xml:space="preserve">effectiveness, cost, and response time.  </w:t>
      </w:r>
    </w:p>
    <w:p w:rsidR="00C45B13" w:rsidRDefault="00313D98" w:rsidP="00C45B13">
      <w:pPr>
        <w:ind w:left="540" w:hanging="180"/>
        <w:rPr>
          <w:rFonts w:cs="Arial"/>
        </w:rPr>
      </w:pPr>
      <w:r w:rsidRPr="00313D98">
        <w:rPr>
          <w:rFonts w:cs="Arial"/>
        </w:rPr>
        <w:t xml:space="preserve">• </w:t>
      </w:r>
      <w:r w:rsidR="00C45B13">
        <w:rPr>
          <w:rFonts w:cs="Arial"/>
        </w:rPr>
        <w:t xml:space="preserve">The supply of rural drinking water is reduced by tile drainage and threatened by climate change, but no one knows by how much.  </w:t>
      </w:r>
    </w:p>
    <w:p w:rsidR="00313D98" w:rsidRPr="00313D98" w:rsidRDefault="00313D98" w:rsidP="00313D98">
      <w:pPr>
        <w:rPr>
          <w:rFonts w:cs="Arial"/>
          <w:b/>
        </w:rPr>
      </w:pPr>
      <w:r w:rsidRPr="00313D98">
        <w:rPr>
          <w:rFonts w:cs="Arial"/>
          <w:b/>
        </w:rPr>
        <w:t>• The Vermillion River watershed</w:t>
      </w:r>
      <w:r w:rsidR="0019168A">
        <w:rPr>
          <w:rFonts w:cs="Arial"/>
          <w:b/>
        </w:rPr>
        <w:t xml:space="preserve"> in Dakota County</w:t>
      </w:r>
      <w:r w:rsidRPr="00313D98">
        <w:rPr>
          <w:rFonts w:cs="Arial"/>
          <w:b/>
        </w:rPr>
        <w:t xml:space="preserve"> is an important test case.  </w:t>
      </w:r>
    </w:p>
    <w:p w:rsidR="00313D98" w:rsidRPr="00313D98" w:rsidRDefault="00313D98" w:rsidP="00313D98">
      <w:pPr>
        <w:rPr>
          <w:rFonts w:cs="Arial"/>
        </w:rPr>
      </w:pPr>
      <w:r w:rsidRPr="00313D98">
        <w:rPr>
          <w:rFonts w:cs="Arial"/>
        </w:rPr>
        <w:t xml:space="preserve">The watershed is largely agricultural with sandy soils overlying </w:t>
      </w:r>
      <w:r w:rsidR="007C6A2B">
        <w:rPr>
          <w:rFonts w:cs="Arial"/>
        </w:rPr>
        <w:t xml:space="preserve">fractured </w:t>
      </w:r>
      <w:r w:rsidRPr="00313D98">
        <w:rPr>
          <w:rFonts w:cs="Arial"/>
        </w:rPr>
        <w:t xml:space="preserve">bedrock aquifers, making the area susceptible to groundwater pollution.  </w:t>
      </w:r>
      <w:r w:rsidR="00D267C0">
        <w:rPr>
          <w:rFonts w:cs="Arial"/>
          <w:i/>
        </w:rPr>
        <w:t>In the eastern watershed, most</w:t>
      </w:r>
      <w:r w:rsidRPr="00313D98">
        <w:rPr>
          <w:rFonts w:cs="Arial"/>
          <w:i/>
        </w:rPr>
        <w:t xml:space="preserve"> drinking-water supply wells are contaminated with nitrate above bac</w:t>
      </w:r>
      <w:r w:rsidR="00D267C0">
        <w:rPr>
          <w:rFonts w:cs="Arial"/>
          <w:i/>
        </w:rPr>
        <w:t xml:space="preserve">kground levels and commonly above the drinking-water limit.  And the problem is getting worse.  </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287" w:type="dxa"/>
        <w:tblLook w:val="04A0" w:firstRow="1" w:lastRow="0" w:firstColumn="1" w:lastColumn="0" w:noHBand="0" w:noVBand="1"/>
      </w:tblPr>
      <w:tblGrid>
        <w:gridCol w:w="10287"/>
      </w:tblGrid>
      <w:tr w:rsidR="00601A54" w:rsidRPr="00EB5831" w:rsidTr="00A15850">
        <w:trPr>
          <w:trHeight w:val="2970"/>
        </w:trPr>
        <w:tc>
          <w:tcPr>
            <w:tcW w:w="10287" w:type="dxa"/>
          </w:tcPr>
          <w:p w:rsidR="00601A54" w:rsidRPr="00601A54" w:rsidRDefault="00601A54" w:rsidP="00217C2A">
            <w:pPr>
              <w:widowControl w:val="0"/>
              <w:rPr>
                <w:rFonts w:cs="Arial"/>
              </w:rPr>
            </w:pPr>
            <w:r w:rsidRPr="00EB5831">
              <w:rPr>
                <w:rFonts w:cs="Arial"/>
                <w:b/>
              </w:rPr>
              <w:t>Activity 1:</w:t>
            </w:r>
            <w:r w:rsidRPr="00601A54">
              <w:rPr>
                <w:rFonts w:cs="Arial"/>
              </w:rPr>
              <w:t xml:space="preserve"> </w:t>
            </w:r>
            <w:r w:rsidR="00F81B66" w:rsidRPr="00F81B66">
              <w:rPr>
                <w:rFonts w:cs="Arial"/>
                <w:b/>
              </w:rPr>
              <w:t xml:space="preserve">Quantify </w:t>
            </w:r>
            <w:r w:rsidR="00372635">
              <w:rPr>
                <w:rFonts w:cs="Arial"/>
                <w:b/>
              </w:rPr>
              <w:t>drinking-water replenishment</w:t>
            </w:r>
            <w:r w:rsidR="00F81B66" w:rsidRPr="00F81B66">
              <w:rPr>
                <w:rFonts w:cs="Arial"/>
                <w:b/>
              </w:rPr>
              <w:t xml:space="preserve"> and identify nitrate hotspots</w:t>
            </w:r>
            <w:r w:rsidR="00372635">
              <w:rPr>
                <w:rFonts w:cs="Arial"/>
                <w:b/>
              </w:rPr>
              <w:t>:</w:t>
            </w:r>
            <w:r w:rsidR="00F81B66" w:rsidRPr="00601A54">
              <w:rPr>
                <w:rFonts w:cs="Arial"/>
              </w:rPr>
              <w:t xml:space="preserve"> </w:t>
            </w:r>
            <w:r w:rsidRPr="00372635">
              <w:rPr>
                <w:rFonts w:cs="Arial"/>
                <w:b/>
                <w:i/>
                <w:u w:val="single"/>
              </w:rPr>
              <w:t>How much and how bad</w:t>
            </w:r>
            <w:r w:rsidRPr="00372635">
              <w:rPr>
                <w:rFonts w:cs="Arial"/>
                <w:b/>
                <w:i/>
              </w:rPr>
              <w:t>?</w:t>
            </w:r>
            <w:r w:rsidRPr="00601A54">
              <w:rPr>
                <w:rFonts w:cs="Arial"/>
              </w:rPr>
              <w:t xml:space="preserve">  </w:t>
            </w:r>
          </w:p>
          <w:p w:rsidR="00601A54" w:rsidRDefault="00601A54" w:rsidP="00601A54">
            <w:pPr>
              <w:widowControl w:val="0"/>
              <w:rPr>
                <w:rFonts w:cs="Arial"/>
              </w:rPr>
            </w:pPr>
            <w:r>
              <w:rPr>
                <w:rFonts w:cs="Arial"/>
                <w:b/>
              </w:rPr>
              <w:t>Description:</w:t>
            </w:r>
            <w:r w:rsidRPr="00601A54">
              <w:rPr>
                <w:rFonts w:cs="Arial"/>
              </w:rPr>
              <w:t xml:space="preserve"> We will calculate groundwater recharge </w:t>
            </w:r>
            <w:r w:rsidR="00372635">
              <w:rPr>
                <w:rFonts w:cs="Arial"/>
              </w:rPr>
              <w:t xml:space="preserve">(replenishment of rural drinking water) </w:t>
            </w:r>
            <w:r w:rsidRPr="00601A54">
              <w:rPr>
                <w:rFonts w:cs="Arial"/>
              </w:rPr>
              <w:t xml:space="preserve">using the Soil and Water Assessment Tool (SWAT), a watershed simulation program that accounts for complex soils, detailed agricultural practices, crop growth, tile drainage and all aspects of the hydrologic cycle (infiltration, runoff, and evapotranspiration) at a daily time step.  The impact of tile drainage on recharge can be estimated by comparing simulation results with, and without, tile drainage activated.  SWAT tracks nitrate through the watershed, from its application as fertilizer, storage in soils, uptake in plants, release from plant decomposition, and transport through the watershed in surface runoff or groundwater flow.  SWAT will identify which </w:t>
            </w:r>
            <w:proofErr w:type="spellStart"/>
            <w:r w:rsidRPr="00601A54">
              <w:rPr>
                <w:rFonts w:cs="Arial"/>
              </w:rPr>
              <w:t>subbasins</w:t>
            </w:r>
            <w:proofErr w:type="spellEnd"/>
            <w:r w:rsidRPr="00601A54">
              <w:rPr>
                <w:rFonts w:cs="Arial"/>
              </w:rPr>
              <w:t xml:space="preserve"> are nitrate hotspots, which practices within each </w:t>
            </w:r>
            <w:proofErr w:type="spellStart"/>
            <w:r w:rsidRPr="00601A54">
              <w:rPr>
                <w:rFonts w:cs="Arial"/>
              </w:rPr>
              <w:t>subbasin</w:t>
            </w:r>
            <w:proofErr w:type="spellEnd"/>
            <w:r w:rsidRPr="00601A54">
              <w:rPr>
                <w:rFonts w:cs="Arial"/>
              </w:rPr>
              <w:t xml:space="preserve"> are the greatest nitrate generators, and how much of that nitrate is entering the shallow aquifer.</w:t>
            </w:r>
          </w:p>
          <w:p w:rsidR="00BB1DD3" w:rsidRPr="00601A54" w:rsidRDefault="00BB1DD3" w:rsidP="00601A54">
            <w:pPr>
              <w:widowControl w:val="0"/>
              <w:rPr>
                <w:rFonts w:cs="Arial"/>
                <w:i/>
              </w:rPr>
            </w:pPr>
            <w:r w:rsidRPr="00BB1DD3">
              <w:rPr>
                <w:rFonts w:cs="Arial"/>
                <w:b/>
              </w:rPr>
              <w:t>Dissemination:</w:t>
            </w:r>
            <w:r>
              <w:rPr>
                <w:rFonts w:cs="Arial"/>
              </w:rPr>
              <w:t xml:space="preserve"> Report and data output to</w:t>
            </w:r>
            <w:r w:rsidR="00785D2C">
              <w:rPr>
                <w:rFonts w:cs="Arial"/>
              </w:rPr>
              <w:t xml:space="preserve"> Dakota County; blog post to select newsletters</w:t>
            </w:r>
            <w:r>
              <w:rPr>
                <w:rFonts w:cs="Arial"/>
              </w:rPr>
              <w:t xml:space="preserve">. </w:t>
            </w:r>
          </w:p>
          <w:p w:rsidR="00601A54" w:rsidRPr="00601A54" w:rsidRDefault="00601A54" w:rsidP="005A4FB1">
            <w:pPr>
              <w:autoSpaceDE w:val="0"/>
              <w:autoSpaceDN w:val="0"/>
              <w:adjustRightInd w:val="0"/>
              <w:rPr>
                <w:rFonts w:cs="Arial"/>
                <w:b/>
                <w:bCs/>
                <w:color w:val="000000"/>
              </w:rPr>
            </w:pPr>
            <w:r>
              <w:rPr>
                <w:rFonts w:cs="Arial"/>
                <w:b/>
                <w:bCs/>
                <w:color w:val="000000"/>
              </w:rPr>
              <w:t>ENR</w:t>
            </w:r>
            <w:r w:rsidR="00384C86">
              <w:rPr>
                <w:rFonts w:cs="Arial"/>
                <w:b/>
                <w:bCs/>
                <w:color w:val="000000"/>
              </w:rPr>
              <w:t>TF BUDGET: $13</w:t>
            </w:r>
            <w:r w:rsidR="00AA22AC">
              <w:rPr>
                <w:rFonts w:cs="Arial"/>
                <w:b/>
                <w:bCs/>
                <w:color w:val="000000"/>
              </w:rPr>
              <w:t>0</w:t>
            </w:r>
            <w:r>
              <w:rPr>
                <w:rFonts w:cs="Arial"/>
                <w:b/>
                <w:bCs/>
                <w:color w:val="000000"/>
              </w:rPr>
              <w:t>,000</w:t>
            </w:r>
          </w:p>
        </w:tc>
      </w:tr>
    </w:tbl>
    <w:p w:rsidR="006E0EFD" w:rsidRPr="007D62F0" w:rsidRDefault="006E0EFD" w:rsidP="006E0EFD">
      <w:pPr>
        <w:rPr>
          <w:rFonts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E41843">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6E0EFD" w:rsidRPr="009D6EC8" w:rsidTr="00E41843">
        <w:tc>
          <w:tcPr>
            <w:tcW w:w="8284" w:type="dxa"/>
          </w:tcPr>
          <w:p w:rsidR="006E0EFD" w:rsidRPr="009D6EC8" w:rsidRDefault="006E0EFD" w:rsidP="00F610C5">
            <w:pPr>
              <w:rPr>
                <w:rFonts w:cs="Arial"/>
                <w:i/>
              </w:rPr>
            </w:pPr>
            <w:r w:rsidRPr="009D6EC8">
              <w:rPr>
                <w:rFonts w:cs="Arial"/>
                <w:i/>
              </w:rPr>
              <w:t xml:space="preserve">1.  </w:t>
            </w:r>
            <w:r w:rsidR="00601A54">
              <w:rPr>
                <w:rFonts w:cs="Arial"/>
                <w:i/>
              </w:rPr>
              <w:t xml:space="preserve">Build and calibrate </w:t>
            </w:r>
            <w:r w:rsidR="00F610C5">
              <w:rPr>
                <w:rFonts w:cs="Arial"/>
                <w:i/>
              </w:rPr>
              <w:t>a</w:t>
            </w:r>
            <w:r w:rsidR="00601A54">
              <w:rPr>
                <w:rFonts w:cs="Arial"/>
                <w:i/>
              </w:rPr>
              <w:t xml:space="preserve"> simulation of Vermillion River watershed</w:t>
            </w:r>
          </w:p>
        </w:tc>
        <w:tc>
          <w:tcPr>
            <w:tcW w:w="1786" w:type="dxa"/>
          </w:tcPr>
          <w:p w:rsidR="006E0EFD" w:rsidRPr="009D6EC8" w:rsidRDefault="00E41843" w:rsidP="006E0EFD">
            <w:pPr>
              <w:rPr>
                <w:rFonts w:cs="Arial"/>
                <w:i/>
              </w:rPr>
            </w:pPr>
            <w:r>
              <w:rPr>
                <w:rFonts w:cs="Arial"/>
                <w:i/>
              </w:rPr>
              <w:t>March 2021</w:t>
            </w:r>
          </w:p>
        </w:tc>
      </w:tr>
      <w:tr w:rsidR="006E0EFD" w:rsidRPr="009D6EC8" w:rsidTr="00E41843">
        <w:tc>
          <w:tcPr>
            <w:tcW w:w="8284" w:type="dxa"/>
          </w:tcPr>
          <w:p w:rsidR="006E0EFD" w:rsidRPr="009D6EC8" w:rsidRDefault="006E0EFD" w:rsidP="00F610C5">
            <w:pPr>
              <w:rPr>
                <w:rFonts w:cs="Arial"/>
                <w:i/>
              </w:rPr>
            </w:pPr>
            <w:r w:rsidRPr="009D6EC8">
              <w:rPr>
                <w:rFonts w:cs="Arial"/>
                <w:i/>
              </w:rPr>
              <w:t xml:space="preserve">2.  </w:t>
            </w:r>
            <w:r w:rsidR="00F610C5">
              <w:rPr>
                <w:rFonts w:cs="Arial"/>
                <w:i/>
              </w:rPr>
              <w:t>Quantify</w:t>
            </w:r>
            <w:r w:rsidR="00601A54">
              <w:rPr>
                <w:rFonts w:cs="Arial"/>
                <w:i/>
              </w:rPr>
              <w:t xml:space="preserve"> recharge amounts and test impact of tile drainage</w:t>
            </w:r>
          </w:p>
        </w:tc>
        <w:tc>
          <w:tcPr>
            <w:tcW w:w="1786" w:type="dxa"/>
          </w:tcPr>
          <w:p w:rsidR="006E0EFD" w:rsidRPr="009D6EC8" w:rsidRDefault="00E41843" w:rsidP="006E0EFD">
            <w:pPr>
              <w:rPr>
                <w:rFonts w:cs="Arial"/>
                <w:i/>
              </w:rPr>
            </w:pPr>
            <w:r>
              <w:rPr>
                <w:rFonts w:cs="Arial"/>
                <w:i/>
              </w:rPr>
              <w:t>September 2021</w:t>
            </w:r>
          </w:p>
        </w:tc>
      </w:tr>
    </w:tbl>
    <w:p w:rsidR="00D34A29" w:rsidRDefault="00D34A29" w:rsidP="005431D4">
      <w:pPr>
        <w:tabs>
          <w:tab w:val="left" w:pos="540"/>
        </w:tabs>
        <w:autoSpaceDE w:val="0"/>
        <w:autoSpaceDN w:val="0"/>
        <w:adjustRightInd w:val="0"/>
        <w:rPr>
          <w:rFonts w:cs="Arial"/>
          <w:i/>
        </w:rPr>
      </w:pPr>
    </w:p>
    <w:p w:rsidR="007D62F0" w:rsidRDefault="007D62F0" w:rsidP="005431D4">
      <w:pPr>
        <w:tabs>
          <w:tab w:val="left" w:pos="540"/>
        </w:tabs>
        <w:autoSpaceDE w:val="0"/>
        <w:autoSpaceDN w:val="0"/>
        <w:adjustRightInd w:val="0"/>
        <w:rPr>
          <w:rFonts w:cs="Arial"/>
          <w:i/>
        </w:rPr>
      </w:pPr>
    </w:p>
    <w:p w:rsidR="00D34A29" w:rsidRDefault="00D34A29" w:rsidP="005431D4">
      <w:pPr>
        <w:tabs>
          <w:tab w:val="left" w:pos="540"/>
        </w:tabs>
        <w:autoSpaceDE w:val="0"/>
        <w:autoSpaceDN w:val="0"/>
        <w:adjustRightInd w:val="0"/>
        <w:rPr>
          <w:rFonts w:cs="Arial"/>
          <w:i/>
        </w:rPr>
      </w:pPr>
    </w:p>
    <w:tbl>
      <w:tblPr>
        <w:tblW w:w="10390" w:type="dxa"/>
        <w:tblLook w:val="04A0" w:firstRow="1" w:lastRow="0" w:firstColumn="1" w:lastColumn="0" w:noHBand="0" w:noVBand="1"/>
      </w:tblPr>
      <w:tblGrid>
        <w:gridCol w:w="10390"/>
      </w:tblGrid>
      <w:tr w:rsidR="00E41843" w:rsidRPr="00EB5831" w:rsidTr="00D34A29">
        <w:trPr>
          <w:trHeight w:val="1968"/>
        </w:trPr>
        <w:tc>
          <w:tcPr>
            <w:tcW w:w="10390" w:type="dxa"/>
          </w:tcPr>
          <w:p w:rsidR="00E41843" w:rsidRPr="00601A54" w:rsidRDefault="00581C9E" w:rsidP="00CA62DB">
            <w:pPr>
              <w:widowControl w:val="0"/>
              <w:rPr>
                <w:rFonts w:cs="Arial"/>
              </w:rPr>
            </w:pPr>
            <w:r>
              <w:rPr>
                <w:rFonts w:cs="Arial"/>
                <w:b/>
              </w:rPr>
              <w:t>Activity 2</w:t>
            </w:r>
            <w:r w:rsidR="00E41843" w:rsidRPr="00EB5831">
              <w:rPr>
                <w:rFonts w:cs="Arial"/>
                <w:b/>
              </w:rPr>
              <w:t>:</w:t>
            </w:r>
            <w:r w:rsidR="00E41843" w:rsidRPr="00601A54">
              <w:rPr>
                <w:rFonts w:cs="Arial"/>
              </w:rPr>
              <w:t xml:space="preserve"> </w:t>
            </w:r>
            <w:r w:rsidR="00372635" w:rsidRPr="00372635">
              <w:rPr>
                <w:rFonts w:cs="Arial"/>
                <w:b/>
              </w:rPr>
              <w:t>Evaluate BMPs for effectiveness, response time, and cost:</w:t>
            </w:r>
            <w:r w:rsidR="00372635" w:rsidRPr="00372635">
              <w:rPr>
                <w:rFonts w:cs="Arial"/>
                <w:b/>
                <w:i/>
              </w:rPr>
              <w:t xml:space="preserve"> </w:t>
            </w:r>
            <w:r w:rsidRPr="00372635">
              <w:rPr>
                <w:rFonts w:cs="Arial"/>
                <w:b/>
                <w:i/>
                <w:u w:val="single"/>
              </w:rPr>
              <w:t>What can we do</w:t>
            </w:r>
            <w:r w:rsidR="00372635">
              <w:rPr>
                <w:rFonts w:cs="Arial"/>
                <w:b/>
                <w:i/>
                <w:u w:val="single"/>
              </w:rPr>
              <w:t>?  H</w:t>
            </w:r>
            <w:r w:rsidRPr="00372635">
              <w:rPr>
                <w:rFonts w:cs="Arial"/>
                <w:b/>
                <w:i/>
                <w:u w:val="single"/>
              </w:rPr>
              <w:t>ow long will it take?</w:t>
            </w:r>
            <w:r w:rsidRPr="00372635">
              <w:rPr>
                <w:rFonts w:cs="Arial"/>
                <w:i/>
              </w:rPr>
              <w:t xml:space="preserve"> </w:t>
            </w:r>
            <w:r w:rsidRPr="00581C9E">
              <w:rPr>
                <w:rFonts w:cs="Arial"/>
              </w:rPr>
              <w:t xml:space="preserve"> </w:t>
            </w:r>
          </w:p>
          <w:p w:rsidR="00E41843" w:rsidRDefault="00E41843" w:rsidP="00CA62DB">
            <w:pPr>
              <w:widowControl w:val="0"/>
              <w:rPr>
                <w:rFonts w:cs="Arial"/>
              </w:rPr>
            </w:pPr>
            <w:r>
              <w:rPr>
                <w:rFonts w:cs="Arial"/>
                <w:b/>
              </w:rPr>
              <w:t>Description:</w:t>
            </w:r>
            <w:r w:rsidRPr="00601A54">
              <w:rPr>
                <w:rFonts w:cs="Arial"/>
              </w:rPr>
              <w:t xml:space="preserve"> </w:t>
            </w:r>
            <w:r w:rsidR="00C8633A" w:rsidRPr="00C8633A">
              <w:rPr>
                <w:rFonts w:cs="Arial"/>
              </w:rPr>
              <w:t xml:space="preserve">SWAT can simulate a number of best management practices (BMPs) to test for which are the most effective in reducing nitrate loads to surface and </w:t>
            </w:r>
            <w:proofErr w:type="spellStart"/>
            <w:r w:rsidR="00C8633A" w:rsidRPr="00C8633A">
              <w:rPr>
                <w:rFonts w:cs="Arial"/>
              </w:rPr>
              <w:t>groundwaters</w:t>
            </w:r>
            <w:proofErr w:type="spellEnd"/>
            <w:r w:rsidR="00C8633A" w:rsidRPr="00C8633A">
              <w:rPr>
                <w:rFonts w:cs="Arial"/>
              </w:rPr>
              <w:t xml:space="preserve">.  But we feel BMPs must also be evaluated for the cost and time effectiveness.  Which BMPs are prohibitively expensive?  Which might provide a positive return to the farmer?  And how long will it take to see a difference in the receiving waters?  </w:t>
            </w:r>
          </w:p>
          <w:p w:rsidR="00BB1DD3" w:rsidRPr="00601A54" w:rsidRDefault="00BB1DD3" w:rsidP="00CA62DB">
            <w:pPr>
              <w:widowControl w:val="0"/>
              <w:rPr>
                <w:rFonts w:cs="Arial"/>
                <w:i/>
              </w:rPr>
            </w:pPr>
            <w:r w:rsidRPr="00080DD6">
              <w:rPr>
                <w:rFonts w:cs="Arial"/>
                <w:b/>
              </w:rPr>
              <w:t>Dissemination:</w:t>
            </w:r>
            <w:r w:rsidR="00785D2C">
              <w:rPr>
                <w:rFonts w:cs="Arial"/>
              </w:rPr>
              <w:t xml:space="preserve"> Report to Dakota County</w:t>
            </w:r>
            <w:r w:rsidR="00080DD6">
              <w:rPr>
                <w:rFonts w:cs="Arial"/>
              </w:rPr>
              <w:t>; presentation at state conference</w:t>
            </w:r>
            <w:r w:rsidR="00785D2C">
              <w:rPr>
                <w:rFonts w:cs="Arial"/>
              </w:rPr>
              <w:t>; blog post to select newsletters.</w:t>
            </w:r>
          </w:p>
          <w:p w:rsidR="00E41843" w:rsidRPr="00601A54" w:rsidRDefault="00E41843" w:rsidP="00CA62DB">
            <w:pPr>
              <w:autoSpaceDE w:val="0"/>
              <w:autoSpaceDN w:val="0"/>
              <w:adjustRightInd w:val="0"/>
              <w:rPr>
                <w:rFonts w:cs="Arial"/>
                <w:b/>
                <w:bCs/>
                <w:color w:val="000000"/>
              </w:rPr>
            </w:pPr>
            <w:r>
              <w:rPr>
                <w:rFonts w:cs="Arial"/>
                <w:b/>
                <w:bCs/>
                <w:color w:val="000000"/>
              </w:rPr>
              <w:t>ENRTF BUDGET: $</w:t>
            </w:r>
            <w:r w:rsidR="00AA22AC">
              <w:rPr>
                <w:rFonts w:cs="Arial"/>
                <w:b/>
                <w:bCs/>
                <w:color w:val="000000"/>
              </w:rPr>
              <w:t>90</w:t>
            </w:r>
            <w:r>
              <w:rPr>
                <w:rFonts w:cs="Arial"/>
                <w:b/>
                <w:bCs/>
                <w:color w:val="000000"/>
              </w:rPr>
              <w:t>,000</w:t>
            </w:r>
          </w:p>
        </w:tc>
      </w:tr>
    </w:tbl>
    <w:p w:rsidR="00E41843" w:rsidRPr="007D62F0" w:rsidRDefault="00E41843" w:rsidP="00E41843">
      <w:pPr>
        <w:rPr>
          <w:rFonts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41843" w:rsidRPr="009D6EC8" w:rsidTr="00CA62DB">
        <w:tc>
          <w:tcPr>
            <w:tcW w:w="8284" w:type="dxa"/>
          </w:tcPr>
          <w:p w:rsidR="00E41843" w:rsidRPr="009D6EC8" w:rsidRDefault="00E41843" w:rsidP="00CA62DB">
            <w:pPr>
              <w:rPr>
                <w:rFonts w:cs="Arial"/>
                <w:b/>
              </w:rPr>
            </w:pPr>
            <w:r w:rsidRPr="009D6EC8">
              <w:rPr>
                <w:rFonts w:cs="Arial"/>
                <w:b/>
              </w:rPr>
              <w:t>Outcome</w:t>
            </w:r>
          </w:p>
        </w:tc>
        <w:tc>
          <w:tcPr>
            <w:tcW w:w="1786" w:type="dxa"/>
          </w:tcPr>
          <w:p w:rsidR="00E41843" w:rsidRPr="009D6EC8" w:rsidRDefault="00E41843" w:rsidP="00CA62DB">
            <w:pPr>
              <w:jc w:val="center"/>
              <w:rPr>
                <w:rFonts w:cs="Arial"/>
                <w:b/>
              </w:rPr>
            </w:pPr>
            <w:r w:rsidRPr="009D6EC8">
              <w:rPr>
                <w:rFonts w:cs="Arial"/>
                <w:b/>
              </w:rPr>
              <w:t>Completion Date</w:t>
            </w:r>
          </w:p>
        </w:tc>
      </w:tr>
      <w:tr w:rsidR="00E41843" w:rsidRPr="009D6EC8" w:rsidTr="00CA62DB">
        <w:tc>
          <w:tcPr>
            <w:tcW w:w="8284" w:type="dxa"/>
          </w:tcPr>
          <w:p w:rsidR="00E41843" w:rsidRPr="009D6EC8" w:rsidRDefault="00E41843" w:rsidP="00C8633A">
            <w:pPr>
              <w:rPr>
                <w:rFonts w:cs="Arial"/>
                <w:i/>
              </w:rPr>
            </w:pPr>
            <w:r w:rsidRPr="009D6EC8">
              <w:rPr>
                <w:rFonts w:cs="Arial"/>
                <w:i/>
              </w:rPr>
              <w:t xml:space="preserve">1.  </w:t>
            </w:r>
            <w:r w:rsidR="00C8633A">
              <w:rPr>
                <w:rFonts w:cs="Arial"/>
                <w:i/>
              </w:rPr>
              <w:t>BMP testing for effect</w:t>
            </w:r>
            <w:r w:rsidR="00AA5C98">
              <w:rPr>
                <w:rFonts w:cs="Arial"/>
                <w:i/>
              </w:rPr>
              <w:t>iveness</w:t>
            </w:r>
          </w:p>
        </w:tc>
        <w:tc>
          <w:tcPr>
            <w:tcW w:w="1786" w:type="dxa"/>
          </w:tcPr>
          <w:p w:rsidR="00E41843" w:rsidRPr="009D6EC8" w:rsidRDefault="00B2049D" w:rsidP="00CA62DB">
            <w:pPr>
              <w:rPr>
                <w:rFonts w:cs="Arial"/>
                <w:i/>
              </w:rPr>
            </w:pPr>
            <w:r>
              <w:rPr>
                <w:rFonts w:cs="Arial"/>
                <w:i/>
              </w:rPr>
              <w:t>February</w:t>
            </w:r>
            <w:r w:rsidR="00C8633A">
              <w:rPr>
                <w:rFonts w:cs="Arial"/>
                <w:i/>
              </w:rPr>
              <w:t xml:space="preserve"> 2022</w:t>
            </w:r>
          </w:p>
        </w:tc>
      </w:tr>
      <w:tr w:rsidR="00AA5C98" w:rsidRPr="009D6EC8" w:rsidTr="00CA62DB">
        <w:tc>
          <w:tcPr>
            <w:tcW w:w="8284" w:type="dxa"/>
          </w:tcPr>
          <w:p w:rsidR="00AA5C98" w:rsidRPr="009D6EC8" w:rsidRDefault="00AA5C98" w:rsidP="00C8633A">
            <w:pPr>
              <w:rPr>
                <w:rFonts w:cs="Arial"/>
                <w:i/>
              </w:rPr>
            </w:pPr>
            <w:r>
              <w:rPr>
                <w:rFonts w:cs="Arial"/>
                <w:i/>
              </w:rPr>
              <w:t xml:space="preserve">2.  Cost </w:t>
            </w:r>
            <w:r w:rsidR="00B2049D">
              <w:rPr>
                <w:rFonts w:cs="Arial"/>
                <w:i/>
              </w:rPr>
              <w:t xml:space="preserve">and response-time </w:t>
            </w:r>
            <w:r>
              <w:rPr>
                <w:rFonts w:cs="Arial"/>
                <w:i/>
              </w:rPr>
              <w:t xml:space="preserve">evaluation of most effective BMPs </w:t>
            </w:r>
          </w:p>
        </w:tc>
        <w:tc>
          <w:tcPr>
            <w:tcW w:w="1786" w:type="dxa"/>
          </w:tcPr>
          <w:p w:rsidR="00AA5C98" w:rsidRDefault="00B2049D" w:rsidP="00CA62DB">
            <w:pPr>
              <w:rPr>
                <w:rFonts w:cs="Arial"/>
                <w:i/>
              </w:rPr>
            </w:pPr>
            <w:r>
              <w:rPr>
                <w:rFonts w:cs="Arial"/>
                <w:i/>
              </w:rPr>
              <w:t>June 2022</w:t>
            </w:r>
          </w:p>
        </w:tc>
      </w:tr>
    </w:tbl>
    <w:p w:rsidR="00E41843" w:rsidRDefault="00E41843" w:rsidP="00E41843">
      <w:pPr>
        <w:tabs>
          <w:tab w:val="left" w:pos="540"/>
        </w:tabs>
        <w:autoSpaceDE w:val="0"/>
        <w:autoSpaceDN w:val="0"/>
        <w:adjustRightInd w:val="0"/>
        <w:rPr>
          <w:rFonts w:cs="Arial"/>
          <w:i/>
        </w:rPr>
      </w:pPr>
    </w:p>
    <w:tbl>
      <w:tblPr>
        <w:tblW w:w="10169" w:type="dxa"/>
        <w:tblLook w:val="04A0" w:firstRow="1" w:lastRow="0" w:firstColumn="1" w:lastColumn="0" w:noHBand="0" w:noVBand="1"/>
      </w:tblPr>
      <w:tblGrid>
        <w:gridCol w:w="10169"/>
      </w:tblGrid>
      <w:tr w:rsidR="00E41843" w:rsidRPr="00EB5831" w:rsidTr="00C8633A">
        <w:trPr>
          <w:trHeight w:val="1946"/>
        </w:trPr>
        <w:tc>
          <w:tcPr>
            <w:tcW w:w="10169" w:type="dxa"/>
          </w:tcPr>
          <w:p w:rsidR="00E41843" w:rsidRPr="00601A54" w:rsidRDefault="00C8633A" w:rsidP="00CA62DB">
            <w:pPr>
              <w:widowControl w:val="0"/>
              <w:rPr>
                <w:rFonts w:cs="Arial"/>
              </w:rPr>
            </w:pPr>
            <w:r>
              <w:rPr>
                <w:rFonts w:cs="Arial"/>
                <w:b/>
              </w:rPr>
              <w:t>Activity 3</w:t>
            </w:r>
            <w:r w:rsidR="00E41843" w:rsidRPr="00EB5831">
              <w:rPr>
                <w:rFonts w:cs="Arial"/>
                <w:b/>
              </w:rPr>
              <w:t>:</w:t>
            </w:r>
            <w:r w:rsidR="00E41843" w:rsidRPr="00601A54">
              <w:rPr>
                <w:rFonts w:cs="Arial"/>
              </w:rPr>
              <w:t xml:space="preserve"> </w:t>
            </w:r>
            <w:r w:rsidR="00372635" w:rsidRPr="00372635">
              <w:rPr>
                <w:rFonts w:cs="Arial"/>
                <w:b/>
              </w:rPr>
              <w:t>Evaluate future drinking water supply:</w:t>
            </w:r>
            <w:r w:rsidR="00372635">
              <w:rPr>
                <w:rFonts w:cs="Arial"/>
                <w:b/>
              </w:rPr>
              <w:t xml:space="preserve"> </w:t>
            </w:r>
            <w:r w:rsidR="00372635">
              <w:rPr>
                <w:rFonts w:cs="Arial"/>
              </w:rPr>
              <w:t xml:space="preserve"> </w:t>
            </w:r>
            <w:r w:rsidRPr="00372635">
              <w:rPr>
                <w:rFonts w:cs="Arial"/>
                <w:b/>
                <w:i/>
                <w:u w:val="single"/>
              </w:rPr>
              <w:t>How will it change with climate?</w:t>
            </w:r>
            <w:r w:rsidRPr="00C8633A">
              <w:rPr>
                <w:rFonts w:cs="Arial"/>
              </w:rPr>
              <w:t xml:space="preserve">  </w:t>
            </w:r>
          </w:p>
          <w:p w:rsidR="00E41843" w:rsidRDefault="00E41843" w:rsidP="00CA62DB">
            <w:pPr>
              <w:widowControl w:val="0"/>
              <w:rPr>
                <w:rFonts w:cs="Arial"/>
              </w:rPr>
            </w:pPr>
            <w:r>
              <w:rPr>
                <w:rFonts w:cs="Arial"/>
                <w:b/>
              </w:rPr>
              <w:t>Description:</w:t>
            </w:r>
            <w:r w:rsidRPr="00601A54">
              <w:rPr>
                <w:rFonts w:cs="Arial"/>
              </w:rPr>
              <w:t xml:space="preserve"> </w:t>
            </w:r>
            <w:r w:rsidR="00C8633A" w:rsidRPr="00C8633A">
              <w:rPr>
                <w:rFonts w:cs="Arial"/>
              </w:rPr>
              <w:t xml:space="preserve">Regardless of cause, climate change is already impacting Minnesota.  Groundwater recharge is highly sensitive to small changes in climate: total precipitation, its intensity, its seasonality, and its temperature (snow or rain).  We will extract and downscale output from Global Climate Models (GCMs) and run it through our SWAT model of the Vermillion watershed to </w:t>
            </w:r>
            <w:r w:rsidR="00E921BB">
              <w:rPr>
                <w:rFonts w:cs="Arial"/>
              </w:rPr>
              <w:t>forecast</w:t>
            </w:r>
            <w:r w:rsidR="00C8633A" w:rsidRPr="00C8633A">
              <w:rPr>
                <w:rFonts w:cs="Arial"/>
              </w:rPr>
              <w:t xml:space="preserve"> groundwater recharge </w:t>
            </w:r>
            <w:bookmarkStart w:id="0" w:name="_GoBack"/>
            <w:bookmarkEnd w:id="0"/>
            <w:r w:rsidR="00E921BB">
              <w:rPr>
                <w:rFonts w:cs="Arial"/>
              </w:rPr>
              <w:t>over</w:t>
            </w:r>
            <w:r w:rsidR="00BA2E11">
              <w:rPr>
                <w:rFonts w:cs="Arial"/>
              </w:rPr>
              <w:t xml:space="preserve"> the next 80 years</w:t>
            </w:r>
            <w:r w:rsidR="00C8633A" w:rsidRPr="00C8633A">
              <w:rPr>
                <w:rFonts w:cs="Arial"/>
              </w:rPr>
              <w:t>.</w:t>
            </w:r>
            <w:r w:rsidR="00E921BB">
              <w:rPr>
                <w:rFonts w:cs="Arial"/>
              </w:rPr>
              <w:t xml:space="preserve"> </w:t>
            </w:r>
          </w:p>
          <w:p w:rsidR="00080DD6" w:rsidRPr="00601A54" w:rsidRDefault="00080DD6" w:rsidP="00CA62DB">
            <w:pPr>
              <w:widowControl w:val="0"/>
              <w:rPr>
                <w:rFonts w:cs="Arial"/>
                <w:i/>
              </w:rPr>
            </w:pPr>
            <w:r w:rsidRPr="00080DD6">
              <w:rPr>
                <w:rFonts w:cs="Arial"/>
                <w:b/>
              </w:rPr>
              <w:t>Dissemination:</w:t>
            </w:r>
            <w:r>
              <w:rPr>
                <w:rFonts w:cs="Arial"/>
              </w:rPr>
              <w:t xml:space="preserve"> </w:t>
            </w:r>
            <w:r w:rsidR="00FF6D88">
              <w:rPr>
                <w:rFonts w:cs="Arial"/>
              </w:rPr>
              <w:t>Report to Dakota County</w:t>
            </w:r>
            <w:r>
              <w:rPr>
                <w:rFonts w:cs="Arial"/>
              </w:rPr>
              <w:t>; presentation at state conference</w:t>
            </w:r>
            <w:r w:rsidR="00FF6D88">
              <w:rPr>
                <w:rFonts w:cs="Arial"/>
              </w:rPr>
              <w:t xml:space="preserve">; </w:t>
            </w:r>
            <w:r w:rsidR="00AD3289">
              <w:rPr>
                <w:rFonts w:cs="Arial"/>
              </w:rPr>
              <w:t>blog post to select newsletters</w:t>
            </w:r>
            <w:r>
              <w:rPr>
                <w:rFonts w:cs="Arial"/>
              </w:rPr>
              <w:t>.</w:t>
            </w:r>
          </w:p>
          <w:p w:rsidR="00E41843" w:rsidRPr="00601A54" w:rsidRDefault="00E41843" w:rsidP="00CA62DB">
            <w:pPr>
              <w:autoSpaceDE w:val="0"/>
              <w:autoSpaceDN w:val="0"/>
              <w:adjustRightInd w:val="0"/>
              <w:rPr>
                <w:rFonts w:cs="Arial"/>
                <w:b/>
                <w:bCs/>
                <w:color w:val="000000"/>
              </w:rPr>
            </w:pPr>
            <w:r>
              <w:rPr>
                <w:rFonts w:cs="Arial"/>
                <w:b/>
                <w:bCs/>
                <w:color w:val="000000"/>
              </w:rPr>
              <w:t>ENRTF BUDGET: $</w:t>
            </w:r>
            <w:r w:rsidR="00384C86">
              <w:rPr>
                <w:rFonts w:cs="Arial"/>
                <w:b/>
                <w:bCs/>
                <w:color w:val="000000"/>
              </w:rPr>
              <w:t>11</w:t>
            </w:r>
            <w:r w:rsidR="00CA70C3">
              <w:rPr>
                <w:rFonts w:cs="Arial"/>
                <w:b/>
                <w:bCs/>
                <w:color w:val="000000"/>
              </w:rPr>
              <w:t>0</w:t>
            </w:r>
            <w:r>
              <w:rPr>
                <w:rFonts w:cs="Arial"/>
                <w:b/>
                <w:bCs/>
                <w:color w:val="000000"/>
              </w:rPr>
              <w:t>,000</w:t>
            </w:r>
          </w:p>
        </w:tc>
      </w:tr>
    </w:tbl>
    <w:p w:rsidR="00E41843" w:rsidRPr="007D62F0" w:rsidRDefault="00E41843" w:rsidP="00E41843">
      <w:pPr>
        <w:rPr>
          <w:rFonts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41843" w:rsidRPr="009D6EC8" w:rsidTr="00CA62DB">
        <w:tc>
          <w:tcPr>
            <w:tcW w:w="8284" w:type="dxa"/>
          </w:tcPr>
          <w:p w:rsidR="00E41843" w:rsidRPr="009D6EC8" w:rsidRDefault="00E41843" w:rsidP="00CA62DB">
            <w:pPr>
              <w:rPr>
                <w:rFonts w:cs="Arial"/>
                <w:b/>
              </w:rPr>
            </w:pPr>
            <w:r w:rsidRPr="009D6EC8">
              <w:rPr>
                <w:rFonts w:cs="Arial"/>
                <w:b/>
              </w:rPr>
              <w:t>Outcome</w:t>
            </w:r>
          </w:p>
        </w:tc>
        <w:tc>
          <w:tcPr>
            <w:tcW w:w="1786" w:type="dxa"/>
          </w:tcPr>
          <w:p w:rsidR="00E41843" w:rsidRPr="009D6EC8" w:rsidRDefault="00E41843" w:rsidP="00CA62DB">
            <w:pPr>
              <w:jc w:val="center"/>
              <w:rPr>
                <w:rFonts w:cs="Arial"/>
                <w:b/>
              </w:rPr>
            </w:pPr>
            <w:r w:rsidRPr="009D6EC8">
              <w:rPr>
                <w:rFonts w:cs="Arial"/>
                <w:b/>
              </w:rPr>
              <w:t>Completion Date</w:t>
            </w:r>
          </w:p>
        </w:tc>
      </w:tr>
      <w:tr w:rsidR="00E41843" w:rsidRPr="009D6EC8" w:rsidTr="00CA62DB">
        <w:tc>
          <w:tcPr>
            <w:tcW w:w="8284" w:type="dxa"/>
          </w:tcPr>
          <w:p w:rsidR="00E41843" w:rsidRPr="009D6EC8" w:rsidRDefault="00962D1F" w:rsidP="00F610C5">
            <w:pPr>
              <w:rPr>
                <w:rFonts w:cs="Arial"/>
                <w:i/>
              </w:rPr>
            </w:pPr>
            <w:r>
              <w:rPr>
                <w:rFonts w:cs="Arial"/>
                <w:i/>
              </w:rPr>
              <w:t xml:space="preserve">1.  </w:t>
            </w:r>
            <w:r w:rsidR="00F610C5">
              <w:rPr>
                <w:rFonts w:cs="Arial"/>
                <w:i/>
              </w:rPr>
              <w:t>Compilation of future climate data</w:t>
            </w:r>
          </w:p>
        </w:tc>
        <w:tc>
          <w:tcPr>
            <w:tcW w:w="1786" w:type="dxa"/>
          </w:tcPr>
          <w:p w:rsidR="00E41843" w:rsidRPr="009D6EC8" w:rsidRDefault="00962D1F" w:rsidP="00CA62DB">
            <w:pPr>
              <w:rPr>
                <w:rFonts w:cs="Arial"/>
                <w:i/>
              </w:rPr>
            </w:pPr>
            <w:r>
              <w:rPr>
                <w:rFonts w:cs="Arial"/>
                <w:i/>
              </w:rPr>
              <w:t>December 2022</w:t>
            </w:r>
          </w:p>
        </w:tc>
      </w:tr>
      <w:tr w:rsidR="00962D1F" w:rsidRPr="009D6EC8" w:rsidTr="00CA62DB">
        <w:tc>
          <w:tcPr>
            <w:tcW w:w="8284" w:type="dxa"/>
          </w:tcPr>
          <w:p w:rsidR="00962D1F" w:rsidRPr="009D6EC8" w:rsidRDefault="00962D1F" w:rsidP="00962D1F">
            <w:pPr>
              <w:rPr>
                <w:rFonts w:cs="Arial"/>
                <w:i/>
              </w:rPr>
            </w:pPr>
            <w:r>
              <w:rPr>
                <w:rFonts w:cs="Arial"/>
                <w:i/>
              </w:rPr>
              <w:t>2</w:t>
            </w:r>
            <w:r w:rsidRPr="009D6EC8">
              <w:rPr>
                <w:rFonts w:cs="Arial"/>
                <w:i/>
              </w:rPr>
              <w:t xml:space="preserve">.  </w:t>
            </w:r>
            <w:r>
              <w:rPr>
                <w:rFonts w:cs="Arial"/>
                <w:i/>
              </w:rPr>
              <w:t>Quantification of groundwater recharge and nitrate pollution under future climate</w:t>
            </w:r>
          </w:p>
        </w:tc>
        <w:tc>
          <w:tcPr>
            <w:tcW w:w="1786" w:type="dxa"/>
          </w:tcPr>
          <w:p w:rsidR="00962D1F" w:rsidRDefault="00962D1F" w:rsidP="00962D1F">
            <w:pPr>
              <w:rPr>
                <w:rFonts w:cs="Arial"/>
                <w:i/>
              </w:rPr>
            </w:pPr>
            <w:r>
              <w:rPr>
                <w:rFonts w:cs="Arial"/>
                <w:i/>
              </w:rPr>
              <w:t>June 2023</w:t>
            </w:r>
          </w:p>
        </w:tc>
      </w:tr>
    </w:tbl>
    <w:p w:rsidR="00C02DAD" w:rsidRDefault="00C02DAD" w:rsidP="005431D4">
      <w:pPr>
        <w:tabs>
          <w:tab w:val="left" w:pos="540"/>
        </w:tabs>
        <w:autoSpaceDE w:val="0"/>
        <w:autoSpaceDN w:val="0"/>
        <w:adjustRightInd w:val="0"/>
        <w:rPr>
          <w:rFonts w:cs="Arial"/>
          <w:i/>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5431D4" w:rsidRDefault="0019168A" w:rsidP="00AD3289">
      <w:pPr>
        <w:rPr>
          <w:rFonts w:cs="Arial"/>
        </w:rPr>
      </w:pPr>
      <w:r w:rsidRPr="0019168A">
        <w:rPr>
          <w:rFonts w:cs="Arial"/>
        </w:rPr>
        <w:t xml:space="preserve">This project </w:t>
      </w:r>
      <w:r>
        <w:rPr>
          <w:rFonts w:cs="Arial"/>
        </w:rPr>
        <w:t xml:space="preserve">is </w:t>
      </w:r>
      <w:r w:rsidR="00A15850">
        <w:rPr>
          <w:rFonts w:cs="Arial"/>
        </w:rPr>
        <w:t>coordinated with, and complementary to, a sister proposal put forth by Dakota County</w:t>
      </w:r>
      <w:r w:rsidR="008B2B32">
        <w:rPr>
          <w:rFonts w:cs="Arial"/>
        </w:rPr>
        <w:t>, which</w:t>
      </w:r>
      <w:r w:rsidR="00A15850">
        <w:rPr>
          <w:rFonts w:cs="Arial"/>
        </w:rPr>
        <w:t xml:space="preserve"> will collect </w:t>
      </w:r>
      <w:r w:rsidR="008B2B32">
        <w:rPr>
          <w:rFonts w:cs="Arial"/>
        </w:rPr>
        <w:t>streamflow, tile-flow, and water-</w:t>
      </w:r>
      <w:r w:rsidR="00A15850">
        <w:rPr>
          <w:rFonts w:cs="Arial"/>
        </w:rPr>
        <w:t xml:space="preserve">quality data to better characterize the nitrate conditions in the Vermillion watershed.  </w:t>
      </w:r>
      <w:r w:rsidR="008B2B32">
        <w:rPr>
          <w:rFonts w:cs="Arial"/>
        </w:rPr>
        <w:t>Their project</w:t>
      </w:r>
      <w:r w:rsidR="00A15850">
        <w:rPr>
          <w:rFonts w:cs="Arial"/>
        </w:rPr>
        <w:t xml:space="preserve"> will also construct a groundwater model to identify source areas </w:t>
      </w:r>
      <w:r w:rsidR="008B2B32">
        <w:rPr>
          <w:rFonts w:cs="Arial"/>
        </w:rPr>
        <w:t>of</w:t>
      </w:r>
      <w:r w:rsidR="00A15850">
        <w:rPr>
          <w:rFonts w:cs="Arial"/>
        </w:rPr>
        <w:t xml:space="preserve"> selected water-supply wells, particularly those for the city of Hastings.  The</w:t>
      </w:r>
      <w:r w:rsidR="008B2B32">
        <w:rPr>
          <w:rFonts w:cs="Arial"/>
        </w:rPr>
        <w:t>ir</w:t>
      </w:r>
      <w:r w:rsidR="00A15850">
        <w:rPr>
          <w:rFonts w:cs="Arial"/>
        </w:rPr>
        <w:t xml:space="preserve"> data collection component will help inform our SWAT modeling effort, and the groundwater-recharge results of our SWAT model will help inform the County’s groundwater model.  </w:t>
      </w:r>
      <w:r w:rsidR="00A15850" w:rsidRPr="00073799">
        <w:rPr>
          <w:rFonts w:cs="Arial"/>
          <w:b/>
          <w:i/>
        </w:rPr>
        <w:t xml:space="preserve">Neither of our projects is dependent on the other; however both will be improved by the other. </w:t>
      </w:r>
      <w:r w:rsidR="00A15850">
        <w:rPr>
          <w:rFonts w:cs="Arial"/>
        </w:rPr>
        <w:t xml:space="preserve"> We will meet semi-annually to update each other on our joint progress.  </w:t>
      </w:r>
    </w:p>
    <w:p w:rsidR="00C8633A" w:rsidRPr="0019168A" w:rsidRDefault="00C8633A" w:rsidP="006E0EFD">
      <w:pPr>
        <w:rPr>
          <w:rFonts w:cs="Arial"/>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073799" w:rsidRPr="00073799" w:rsidRDefault="008259C9" w:rsidP="00186FCC">
      <w:pPr>
        <w:tabs>
          <w:tab w:val="left" w:pos="7185"/>
        </w:tabs>
        <w:rPr>
          <w:rFonts w:cs="Arial"/>
        </w:rPr>
      </w:pPr>
      <w:r>
        <w:rPr>
          <w:rFonts w:cs="Arial"/>
        </w:rPr>
        <w:t xml:space="preserve">This project will provide proof of concept for several important issues: (a) how to combine surface-water and groundwater studies, (b) how to evaluate BMPs on more realistic basis including cost and how long it may take to see results, and (c) how climate change may impact our most precious, hidden resource. </w:t>
      </w:r>
      <w:r w:rsidR="004C52F5">
        <w:rPr>
          <w:rFonts w:cs="Arial"/>
        </w:rPr>
        <w:t xml:space="preserve"> </w:t>
      </w:r>
      <w:r>
        <w:rPr>
          <w:rFonts w:cs="Arial"/>
        </w:rPr>
        <w:t xml:space="preserve">We anticipate similar future projects in other sensitive study areas.  </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rsidR="006E0EFD" w:rsidRPr="00D34A29" w:rsidRDefault="00CE20AC" w:rsidP="00D34A29">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sectPr w:rsidR="006E0EFD" w:rsidRPr="00D34A29"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E28" w:rsidRDefault="00403E28" w:rsidP="00533120">
      <w:r>
        <w:separator/>
      </w:r>
    </w:p>
  </w:endnote>
  <w:endnote w:type="continuationSeparator" w:id="0">
    <w:p w:rsidR="00403E28" w:rsidRDefault="00403E2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E921BB">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E28" w:rsidRDefault="00403E28" w:rsidP="00533120">
      <w:r>
        <w:separator/>
      </w:r>
    </w:p>
  </w:footnote>
  <w:footnote w:type="continuationSeparator" w:id="0">
    <w:p w:rsidR="00403E28" w:rsidRDefault="00403E2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p>
        <w:p w:rsidR="005F7237" w:rsidRPr="00EB5831" w:rsidRDefault="007604B7" w:rsidP="004C6C19">
          <w:pPr>
            <w:pStyle w:val="Header"/>
            <w:rPr>
              <w:lang w:val="en-US" w:eastAsia="en-US"/>
            </w:rPr>
          </w:pPr>
          <w:r w:rsidRPr="007604B7">
            <w:rPr>
              <w:b/>
              <w:lang w:val="en-US" w:eastAsia="en-US"/>
            </w:rPr>
            <w:t>Project Title:</w:t>
          </w:r>
          <w:r>
            <w:rPr>
              <w:lang w:val="en-US" w:eastAsia="en-US"/>
            </w:rPr>
            <w:t xml:space="preserve"> </w:t>
          </w:r>
          <w:r w:rsidR="004C6C19">
            <w:rPr>
              <w:lang w:val="en-US" w:eastAsia="en-US"/>
            </w:rPr>
            <w:t>Our Future Drinking Water: Nitrate</w:t>
          </w:r>
          <w:r>
            <w:rPr>
              <w:lang w:val="en-US" w:eastAsia="en-US"/>
            </w:rPr>
            <w:t>, Tile, and Climate</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47F2"/>
    <w:rsid w:val="00045AF2"/>
    <w:rsid w:val="00061EF5"/>
    <w:rsid w:val="00062497"/>
    <w:rsid w:val="00065366"/>
    <w:rsid w:val="00073799"/>
    <w:rsid w:val="00073C96"/>
    <w:rsid w:val="00080DD6"/>
    <w:rsid w:val="000B34BA"/>
    <w:rsid w:val="000C3EF3"/>
    <w:rsid w:val="000D6D84"/>
    <w:rsid w:val="000D7F31"/>
    <w:rsid w:val="00100A34"/>
    <w:rsid w:val="00107495"/>
    <w:rsid w:val="001225BC"/>
    <w:rsid w:val="00124E62"/>
    <w:rsid w:val="00165716"/>
    <w:rsid w:val="0018005E"/>
    <w:rsid w:val="00186FCC"/>
    <w:rsid w:val="0019168A"/>
    <w:rsid w:val="001B0368"/>
    <w:rsid w:val="001B53C6"/>
    <w:rsid w:val="001E42AC"/>
    <w:rsid w:val="002159DD"/>
    <w:rsid w:val="00217C2A"/>
    <w:rsid w:val="002315A6"/>
    <w:rsid w:val="00254DE5"/>
    <w:rsid w:val="00290E4E"/>
    <w:rsid w:val="00292996"/>
    <w:rsid w:val="0029726A"/>
    <w:rsid w:val="002B469A"/>
    <w:rsid w:val="002E0037"/>
    <w:rsid w:val="00312C47"/>
    <w:rsid w:val="00313D98"/>
    <w:rsid w:val="003205A7"/>
    <w:rsid w:val="003239FE"/>
    <w:rsid w:val="00347E7A"/>
    <w:rsid w:val="00351EA6"/>
    <w:rsid w:val="00354888"/>
    <w:rsid w:val="003578A0"/>
    <w:rsid w:val="00372635"/>
    <w:rsid w:val="0037310D"/>
    <w:rsid w:val="00384C86"/>
    <w:rsid w:val="0039481E"/>
    <w:rsid w:val="003C451C"/>
    <w:rsid w:val="003F32CA"/>
    <w:rsid w:val="00403E28"/>
    <w:rsid w:val="00404B9C"/>
    <w:rsid w:val="004261D6"/>
    <w:rsid w:val="004357AE"/>
    <w:rsid w:val="00452BF9"/>
    <w:rsid w:val="004530F7"/>
    <w:rsid w:val="00454495"/>
    <w:rsid w:val="00461EE0"/>
    <w:rsid w:val="00487D08"/>
    <w:rsid w:val="0049103C"/>
    <w:rsid w:val="004A43B9"/>
    <w:rsid w:val="004A4BE4"/>
    <w:rsid w:val="004A4E89"/>
    <w:rsid w:val="004C52F5"/>
    <w:rsid w:val="004C6C19"/>
    <w:rsid w:val="004E6113"/>
    <w:rsid w:val="00533120"/>
    <w:rsid w:val="005431D4"/>
    <w:rsid w:val="00546200"/>
    <w:rsid w:val="00550B29"/>
    <w:rsid w:val="005648A9"/>
    <w:rsid w:val="00581C9E"/>
    <w:rsid w:val="005A1D00"/>
    <w:rsid w:val="005A4FB1"/>
    <w:rsid w:val="005C7C27"/>
    <w:rsid w:val="005F0DBA"/>
    <w:rsid w:val="005F1006"/>
    <w:rsid w:val="005F2292"/>
    <w:rsid w:val="005F7237"/>
    <w:rsid w:val="00601A54"/>
    <w:rsid w:val="00602068"/>
    <w:rsid w:val="00614DF2"/>
    <w:rsid w:val="00640A9A"/>
    <w:rsid w:val="0064304D"/>
    <w:rsid w:val="006562F0"/>
    <w:rsid w:val="00667844"/>
    <w:rsid w:val="00686B53"/>
    <w:rsid w:val="006E0EFD"/>
    <w:rsid w:val="006F7F24"/>
    <w:rsid w:val="00721661"/>
    <w:rsid w:val="00725CA9"/>
    <w:rsid w:val="00731A65"/>
    <w:rsid w:val="0074774F"/>
    <w:rsid w:val="007604B7"/>
    <w:rsid w:val="00785D2C"/>
    <w:rsid w:val="007936A9"/>
    <w:rsid w:val="007B284F"/>
    <w:rsid w:val="007B3535"/>
    <w:rsid w:val="007C6A2B"/>
    <w:rsid w:val="007D0830"/>
    <w:rsid w:val="007D62F0"/>
    <w:rsid w:val="007E0387"/>
    <w:rsid w:val="00806460"/>
    <w:rsid w:val="008076FB"/>
    <w:rsid w:val="008259C9"/>
    <w:rsid w:val="00856E24"/>
    <w:rsid w:val="008949EE"/>
    <w:rsid w:val="008A088E"/>
    <w:rsid w:val="008A4498"/>
    <w:rsid w:val="008A5FD9"/>
    <w:rsid w:val="008A688A"/>
    <w:rsid w:val="008B2B32"/>
    <w:rsid w:val="008B4252"/>
    <w:rsid w:val="008D2242"/>
    <w:rsid w:val="00910DB8"/>
    <w:rsid w:val="00912C65"/>
    <w:rsid w:val="00926529"/>
    <w:rsid w:val="00953787"/>
    <w:rsid w:val="009541C4"/>
    <w:rsid w:val="00962D1F"/>
    <w:rsid w:val="009A49DE"/>
    <w:rsid w:val="009B6749"/>
    <w:rsid w:val="009C2C6B"/>
    <w:rsid w:val="009C4875"/>
    <w:rsid w:val="009D0E57"/>
    <w:rsid w:val="009D14B4"/>
    <w:rsid w:val="009D6EC8"/>
    <w:rsid w:val="00A03E0A"/>
    <w:rsid w:val="00A13F26"/>
    <w:rsid w:val="00A15850"/>
    <w:rsid w:val="00A20F43"/>
    <w:rsid w:val="00A42E60"/>
    <w:rsid w:val="00A45A41"/>
    <w:rsid w:val="00A7257F"/>
    <w:rsid w:val="00A73B75"/>
    <w:rsid w:val="00AA22AC"/>
    <w:rsid w:val="00AA5C98"/>
    <w:rsid w:val="00AB6CFF"/>
    <w:rsid w:val="00AC2C07"/>
    <w:rsid w:val="00AC2CDE"/>
    <w:rsid w:val="00AD3289"/>
    <w:rsid w:val="00AD3337"/>
    <w:rsid w:val="00AE6148"/>
    <w:rsid w:val="00AE779D"/>
    <w:rsid w:val="00B0047C"/>
    <w:rsid w:val="00B12813"/>
    <w:rsid w:val="00B2049D"/>
    <w:rsid w:val="00B2694E"/>
    <w:rsid w:val="00B728BF"/>
    <w:rsid w:val="00B834EA"/>
    <w:rsid w:val="00B8369A"/>
    <w:rsid w:val="00B86A22"/>
    <w:rsid w:val="00B874D1"/>
    <w:rsid w:val="00BA2E11"/>
    <w:rsid w:val="00BB1DD3"/>
    <w:rsid w:val="00BC28A6"/>
    <w:rsid w:val="00BC732B"/>
    <w:rsid w:val="00BF329D"/>
    <w:rsid w:val="00C02DAD"/>
    <w:rsid w:val="00C41CC3"/>
    <w:rsid w:val="00C44A5A"/>
    <w:rsid w:val="00C45B13"/>
    <w:rsid w:val="00C660F0"/>
    <w:rsid w:val="00C72BD9"/>
    <w:rsid w:val="00C82CD3"/>
    <w:rsid w:val="00C85E92"/>
    <w:rsid w:val="00C8633A"/>
    <w:rsid w:val="00C93C7F"/>
    <w:rsid w:val="00C952E4"/>
    <w:rsid w:val="00CA70C3"/>
    <w:rsid w:val="00CB652D"/>
    <w:rsid w:val="00CD489F"/>
    <w:rsid w:val="00CE0458"/>
    <w:rsid w:val="00CE20AC"/>
    <w:rsid w:val="00D02E23"/>
    <w:rsid w:val="00D121DD"/>
    <w:rsid w:val="00D17589"/>
    <w:rsid w:val="00D25619"/>
    <w:rsid w:val="00D267C0"/>
    <w:rsid w:val="00D32CFB"/>
    <w:rsid w:val="00D34A29"/>
    <w:rsid w:val="00D961C0"/>
    <w:rsid w:val="00DB3A37"/>
    <w:rsid w:val="00E41843"/>
    <w:rsid w:val="00E47145"/>
    <w:rsid w:val="00E5279E"/>
    <w:rsid w:val="00E619C4"/>
    <w:rsid w:val="00E76D57"/>
    <w:rsid w:val="00E921BB"/>
    <w:rsid w:val="00EA3C26"/>
    <w:rsid w:val="00EB5831"/>
    <w:rsid w:val="00EF53FF"/>
    <w:rsid w:val="00F42507"/>
    <w:rsid w:val="00F610C5"/>
    <w:rsid w:val="00F70DE4"/>
    <w:rsid w:val="00F73864"/>
    <w:rsid w:val="00F81B66"/>
    <w:rsid w:val="00F9232B"/>
    <w:rsid w:val="00F92864"/>
    <w:rsid w:val="00F96203"/>
    <w:rsid w:val="00F97C94"/>
    <w:rsid w:val="00FF1689"/>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E5576"/>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Jim Almendinger</cp:lastModifiedBy>
  <cp:revision>53</cp:revision>
  <cp:lastPrinted>2019-04-12T20:32:00Z</cp:lastPrinted>
  <dcterms:created xsi:type="dcterms:W3CDTF">2019-04-03T18:30:00Z</dcterms:created>
  <dcterms:modified xsi:type="dcterms:W3CDTF">2019-04-15T16:34:00Z</dcterms:modified>
</cp:coreProperties>
</file>