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8B25" w14:textId="26A8ACDA" w:rsidR="006E0EFD" w:rsidRPr="009D6EC8" w:rsidRDefault="006E0EFD" w:rsidP="006E0EFD">
      <w:pPr>
        <w:rPr>
          <w:rFonts w:cs="Arial"/>
        </w:rPr>
      </w:pPr>
      <w:r w:rsidRPr="009D6EC8">
        <w:rPr>
          <w:rFonts w:cs="Arial"/>
          <w:b/>
        </w:rPr>
        <w:t>PROJECT TITLE:</w:t>
      </w:r>
      <w:r w:rsidR="00DE5B6E">
        <w:rPr>
          <w:rFonts w:cs="Arial"/>
          <w:b/>
        </w:rPr>
        <w:t xml:space="preserve"> Is glyphosate </w:t>
      </w:r>
      <w:r w:rsidR="003B1A18">
        <w:rPr>
          <w:rFonts w:cs="Arial"/>
          <w:b/>
        </w:rPr>
        <w:t>causing harmful algal blooms</w:t>
      </w:r>
      <w:r w:rsidR="00DE5B6E">
        <w:rPr>
          <w:rFonts w:cs="Arial"/>
          <w:b/>
        </w:rPr>
        <w:t>?</w:t>
      </w:r>
    </w:p>
    <w:p w14:paraId="3121C716" w14:textId="6D787C8C" w:rsidR="00292C82" w:rsidRDefault="006E0EFD" w:rsidP="006E0EFD">
      <w:pPr>
        <w:rPr>
          <w:rFonts w:cs="Arial"/>
        </w:rPr>
      </w:pPr>
      <w:r w:rsidRPr="009D6EC8">
        <w:rPr>
          <w:rFonts w:cs="Arial"/>
          <w:b/>
        </w:rPr>
        <w:t>I. PROJECT STATEMENT</w:t>
      </w:r>
      <w:r w:rsidR="00DE5B6E">
        <w:rPr>
          <w:rFonts w:cs="Arial"/>
          <w:b/>
        </w:rPr>
        <w:t xml:space="preserve">: </w:t>
      </w:r>
      <w:r w:rsidR="004E300B">
        <w:rPr>
          <w:rFonts w:cs="Arial"/>
        </w:rPr>
        <w:t xml:space="preserve">Cyanobacteria, i.e. blue-green algae, and other harmful algal bloom (HAB) species are increasingly problematic in Minnesota waters. These </w:t>
      </w:r>
      <w:r w:rsidR="00BD122F">
        <w:rPr>
          <w:rFonts w:cs="Arial"/>
        </w:rPr>
        <w:t>HABs deplete</w:t>
      </w:r>
      <w:r w:rsidR="004E300B">
        <w:rPr>
          <w:rFonts w:cs="Arial"/>
        </w:rPr>
        <w:t xml:space="preserve"> dissolved oxygen concentrations in lakes and rivers, leading to fish kills, extirpation of game and forage fish species and exacerbation of water quality issues via production of toxins</w:t>
      </w:r>
      <w:r w:rsidR="00227DC1">
        <w:rPr>
          <w:rFonts w:cs="Arial"/>
        </w:rPr>
        <w:t>, increased metals concentrations</w:t>
      </w:r>
      <w:r w:rsidR="004E300B">
        <w:rPr>
          <w:rFonts w:cs="Arial"/>
        </w:rPr>
        <w:t xml:space="preserve"> and increas</w:t>
      </w:r>
      <w:r w:rsidR="00227DC1">
        <w:rPr>
          <w:rFonts w:cs="Arial"/>
        </w:rPr>
        <w:t>ed</w:t>
      </w:r>
      <w:r w:rsidR="004E300B">
        <w:rPr>
          <w:rFonts w:cs="Arial"/>
        </w:rPr>
        <w:t xml:space="preserve"> availability of nutrients such as phosphorus. The US EPA estimates that HABs reduce economic output in the US by well over $5 billion </w:t>
      </w:r>
      <w:r w:rsidR="004E300B">
        <w:t xml:space="preserve">due to effects on tourism, commercial fishing, property values, human health, drinking water treatment and mitigation. </w:t>
      </w:r>
      <w:r w:rsidR="00292C82">
        <w:t xml:space="preserve">If we are ever going to be able to manage the increased frequency, duration and impact of HABs, </w:t>
      </w:r>
      <w:r w:rsidR="00227DC1">
        <w:t>we need to determine</w:t>
      </w:r>
      <w:r w:rsidR="00292C82">
        <w:t xml:space="preserve"> what factors are causing them to become increasingly prevalent</w:t>
      </w:r>
      <w:r w:rsidR="000D5C25">
        <w:t>.</w:t>
      </w:r>
    </w:p>
    <w:p w14:paraId="44322813" w14:textId="23FB1E35" w:rsidR="00C56DD7" w:rsidRDefault="00227DC1" w:rsidP="006E0EFD">
      <w:pPr>
        <w:rPr>
          <w:rFonts w:cs="Arial"/>
        </w:rPr>
      </w:pPr>
      <w:r>
        <w:rPr>
          <w:rFonts w:cs="Arial"/>
        </w:rPr>
        <w:t>One</w:t>
      </w:r>
      <w:r w:rsidR="009579C5">
        <w:rPr>
          <w:rFonts w:cs="Arial"/>
        </w:rPr>
        <w:t xml:space="preserve"> contributing factor that we will examine in </w:t>
      </w:r>
      <w:r w:rsidR="000D5C25">
        <w:rPr>
          <w:rFonts w:cs="Arial"/>
        </w:rPr>
        <w:t>this project</w:t>
      </w:r>
      <w:r w:rsidR="009579C5">
        <w:rPr>
          <w:rFonts w:cs="Arial"/>
        </w:rPr>
        <w:t xml:space="preserve"> is the impact of the herbicide glyphosate, aka, Roundup. Since it was introduced in the 1970s, glyphosate </w:t>
      </w:r>
      <w:r w:rsidR="0030751E">
        <w:rPr>
          <w:rFonts w:cs="Arial"/>
        </w:rPr>
        <w:t>has become the world's most widely used herbicide with global usage rates now at nearly 9 billion kg</w:t>
      </w:r>
      <w:r w:rsidR="007A1F05">
        <w:rPr>
          <w:rFonts w:cs="Arial"/>
        </w:rPr>
        <w:t>,</w:t>
      </w:r>
      <w:r w:rsidR="0030751E">
        <w:rPr>
          <w:rFonts w:cs="Arial"/>
        </w:rPr>
        <w:t xml:space="preserve"> and Minnesota is among the regions of the world where this herbicide is used at the highest rates. </w:t>
      </w:r>
      <w:r w:rsidR="006B4A77">
        <w:rPr>
          <w:rFonts w:cs="Arial"/>
        </w:rPr>
        <w:t xml:space="preserve">Glyphosate is an organic phosphorus (P) compound that, in addition to inhibiting plant growth, can be used by some organisms as a nutrient. In fact, recent </w:t>
      </w:r>
      <w:r w:rsidR="00EA712F">
        <w:rPr>
          <w:rFonts w:cs="Arial"/>
        </w:rPr>
        <w:t>ob</w:t>
      </w:r>
      <w:r w:rsidR="00C56DD7">
        <w:rPr>
          <w:rFonts w:cs="Arial"/>
        </w:rPr>
        <w:t xml:space="preserve">servations indicate that the amount of P applied as glyphosate is about the same amount that led to the ban of P in detergents back in the 1970s. At the same time that the herbicidal effects of glyphosate are inhibiting growth of some algae that have less potential to form nuisance blooms and excrete toxins, it may </w:t>
      </w:r>
      <w:r w:rsidR="00CD4EC5">
        <w:rPr>
          <w:rFonts w:cs="Arial"/>
        </w:rPr>
        <w:t>actually</w:t>
      </w:r>
      <w:r w:rsidR="00C56DD7">
        <w:rPr>
          <w:rFonts w:cs="Arial"/>
        </w:rPr>
        <w:t xml:space="preserve"> </w:t>
      </w:r>
      <w:r w:rsidR="00CD4EC5">
        <w:rPr>
          <w:rFonts w:cs="Arial"/>
        </w:rPr>
        <w:t>be</w:t>
      </w:r>
      <w:r w:rsidR="00C56DD7">
        <w:rPr>
          <w:rFonts w:cs="Arial"/>
        </w:rPr>
        <w:t xml:space="preserve"> promoting the growth of other algal species by providing a readily available source of P. One of the main hypotheses that we will examine in this project is whether cyanobacteria have a selective advantage for using glyphosate as previous work has indicated that most blue-green algae have to capacity to metabolize phosphonates, the class of P compound that includes glyphosate. </w:t>
      </w:r>
    </w:p>
    <w:p w14:paraId="238353B5" w14:textId="71F3C860" w:rsidR="00A30927" w:rsidRPr="00A30927" w:rsidRDefault="00A30927" w:rsidP="00772E6C">
      <w:pPr>
        <w:rPr>
          <w:rFonts w:cs="Arial"/>
        </w:rPr>
      </w:pPr>
      <w:r>
        <w:rPr>
          <w:rFonts w:cs="Arial"/>
        </w:rPr>
        <w:t xml:space="preserve">In this project, we will use a combination of lab experiments and field work to determine what concentrations of glyphosate are inhibitory to various desirable and undesirable species of algae. We will also determine if the P in glyphosate stimulates algal growth. We will work with partners (MN PCA and Dept. Ag) to implement standards for glyphosate in waterways. </w:t>
      </w:r>
      <w:r w:rsidRPr="00A30927">
        <w:rPr>
          <w:rFonts w:cs="Arial"/>
          <w:b/>
        </w:rPr>
        <w:t>This research will help build MN Department of Agriculture’s existing dataset of glyphosate measurements in surface waters as well as determine whether glyphosate is contributing to HABs. It will also aid in setting standards for glyphosate in lakes and rivers.</w:t>
      </w:r>
    </w:p>
    <w:p w14:paraId="02C58252" w14:textId="3E992936" w:rsidR="006E0EFD" w:rsidRPr="009D6EC8" w:rsidRDefault="006E0EFD" w:rsidP="006E0EFD">
      <w:pPr>
        <w:rPr>
          <w:rFonts w:cs="Arial"/>
          <w:i/>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1018" w:type="dxa"/>
        <w:tblLook w:val="04A0" w:firstRow="1" w:lastRow="0" w:firstColumn="1" w:lastColumn="0" w:noHBand="0" w:noVBand="1"/>
      </w:tblPr>
      <w:tblGrid>
        <w:gridCol w:w="8280"/>
        <w:gridCol w:w="1280"/>
        <w:gridCol w:w="186"/>
        <w:gridCol w:w="1272"/>
      </w:tblGrid>
      <w:tr w:rsidR="00686B53" w:rsidRPr="00EB5831" w14:paraId="45DFE1C7" w14:textId="77777777" w:rsidTr="00E20E7B">
        <w:tc>
          <w:tcPr>
            <w:tcW w:w="9738" w:type="dxa"/>
            <w:gridSpan w:val="3"/>
          </w:tcPr>
          <w:p w14:paraId="6E25420D" w14:textId="74C1288F"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290692">
              <w:rPr>
                <w:rFonts w:cs="Arial"/>
                <w:b/>
              </w:rPr>
              <w:t xml:space="preserve"> Determine inhibitory concentrations of glyphosate on prokaryotic and eukaryotic algae.</w:t>
            </w:r>
          </w:p>
          <w:p w14:paraId="631172CA" w14:textId="228CBA98" w:rsidR="00A30E38" w:rsidRPr="009D6EC8" w:rsidRDefault="008A5FD9" w:rsidP="00A30E38">
            <w:pPr>
              <w:rPr>
                <w:rFonts w:cs="Arial"/>
                <w:i/>
              </w:rPr>
            </w:pPr>
            <w:r>
              <w:rPr>
                <w:b/>
              </w:rPr>
              <w:t>Description:</w:t>
            </w:r>
            <w:r w:rsidR="00686B53" w:rsidRPr="00EB5831">
              <w:rPr>
                <w:i/>
              </w:rPr>
              <w:t xml:space="preserve"> </w:t>
            </w:r>
            <w:r w:rsidR="00290692">
              <w:t>I</w:t>
            </w:r>
            <w:r w:rsidR="00290692" w:rsidRPr="0081629B">
              <w:rPr>
                <w:rFonts w:cs="Arial"/>
              </w:rPr>
              <w:t xml:space="preserve">solates of algae will be obtained </w:t>
            </w:r>
            <w:r w:rsidR="00772E6C" w:rsidRPr="0081629B">
              <w:rPr>
                <w:rFonts w:cs="Arial"/>
              </w:rPr>
              <w:t>and grown</w:t>
            </w:r>
            <w:r w:rsidR="00290692" w:rsidRPr="0081629B">
              <w:rPr>
                <w:rFonts w:cs="Arial"/>
              </w:rPr>
              <w:t xml:space="preserve"> under optimal</w:t>
            </w:r>
            <w:r w:rsidR="00A30927">
              <w:rPr>
                <w:rFonts w:cs="Arial"/>
              </w:rPr>
              <w:t xml:space="preserve"> </w:t>
            </w:r>
            <w:r w:rsidR="00290692" w:rsidRPr="0081629B">
              <w:rPr>
                <w:rFonts w:cs="Arial"/>
              </w:rPr>
              <w:t xml:space="preserve">conditions. Increasing concentrations of glyphosate will be added </w:t>
            </w:r>
            <w:r w:rsidR="0081629B" w:rsidRPr="0081629B">
              <w:rPr>
                <w:rFonts w:cs="Arial"/>
              </w:rPr>
              <w:t xml:space="preserve">and </w:t>
            </w:r>
            <w:r w:rsidR="00D27F75" w:rsidRPr="0081629B">
              <w:rPr>
                <w:rFonts w:cs="Arial"/>
              </w:rPr>
              <w:t xml:space="preserve">growth efficiency and respiration </w:t>
            </w:r>
            <w:r w:rsidR="00EA468C">
              <w:rPr>
                <w:rFonts w:cs="Arial"/>
              </w:rPr>
              <w:t xml:space="preserve">measured </w:t>
            </w:r>
            <w:r w:rsidR="00D27F75" w:rsidRPr="0081629B">
              <w:rPr>
                <w:rFonts w:cs="Arial"/>
              </w:rPr>
              <w:t xml:space="preserve">by quantifying changes in </w:t>
            </w:r>
            <w:r w:rsidR="00772E6C" w:rsidRPr="0081629B">
              <w:rPr>
                <w:rFonts w:cs="Arial"/>
              </w:rPr>
              <w:t>carbon and oxygen pools</w:t>
            </w:r>
            <w:r w:rsidR="00D27F75" w:rsidRPr="0081629B">
              <w:rPr>
                <w:rFonts w:cs="Arial"/>
              </w:rPr>
              <w:t xml:space="preserve">. Glyphosate concentrations will be manipulated to observe effects on growth both in the short (hours) and long-term (days) to determine the threshold values of glyphosate that inhibit growth in these two groups of organisms. We hypothesize that blue-green algae should be more tolerant of glyphosate than </w:t>
            </w:r>
            <w:r w:rsidR="00A30927">
              <w:rPr>
                <w:rFonts w:cs="Arial"/>
              </w:rPr>
              <w:t>other</w:t>
            </w:r>
            <w:r w:rsidR="00D27F75" w:rsidRPr="0081629B">
              <w:rPr>
                <w:rFonts w:cs="Arial"/>
              </w:rPr>
              <w:t xml:space="preserve"> strains.</w:t>
            </w:r>
            <w:r w:rsidR="00D27F75">
              <w:t xml:space="preserve"> </w:t>
            </w:r>
            <w:r w:rsidR="00CD4EC5">
              <w:br/>
            </w:r>
            <w:r w:rsidR="00CD4EC5">
              <w:rPr>
                <w:b/>
                <w:bCs/>
                <w:color w:val="000000"/>
              </w:rPr>
              <w:t>ENRTF BUDGET: $1</w:t>
            </w:r>
            <w:r w:rsidR="00A92F87">
              <w:rPr>
                <w:b/>
                <w:bCs/>
                <w:color w:val="000000"/>
              </w:rPr>
              <w:t>5</w:t>
            </w:r>
            <w:r w:rsidR="00CD4EC5">
              <w:rPr>
                <w:b/>
                <w:bCs/>
                <w:color w:val="000000"/>
              </w:rPr>
              <w:t>0,000</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2"/>
              <w:gridCol w:w="3170"/>
            </w:tblGrid>
            <w:tr w:rsidR="00A30E38" w:rsidRPr="009D6EC8" w14:paraId="4F6A6A00" w14:textId="77777777" w:rsidTr="00B6196B">
              <w:tc>
                <w:tcPr>
                  <w:tcW w:w="6342" w:type="dxa"/>
                </w:tcPr>
                <w:p w14:paraId="2F6DA71F" w14:textId="77777777" w:rsidR="00A30E38" w:rsidRPr="009D6EC8" w:rsidRDefault="00A30E38" w:rsidP="009C2E97">
                  <w:pPr>
                    <w:spacing w:after="0"/>
                    <w:rPr>
                      <w:rFonts w:cs="Arial"/>
                      <w:b/>
                    </w:rPr>
                  </w:pPr>
                  <w:r w:rsidRPr="009D6EC8">
                    <w:rPr>
                      <w:rFonts w:cs="Arial"/>
                      <w:b/>
                    </w:rPr>
                    <w:t>Outcome</w:t>
                  </w:r>
                </w:p>
              </w:tc>
              <w:tc>
                <w:tcPr>
                  <w:tcW w:w="3170" w:type="dxa"/>
                </w:tcPr>
                <w:p w14:paraId="1CB10DC8" w14:textId="77777777" w:rsidR="00A30E38" w:rsidRPr="009D6EC8" w:rsidRDefault="00A30E38" w:rsidP="009C2E97">
                  <w:pPr>
                    <w:spacing w:after="0"/>
                    <w:jc w:val="center"/>
                    <w:rPr>
                      <w:rFonts w:cs="Arial"/>
                      <w:b/>
                    </w:rPr>
                  </w:pPr>
                  <w:r w:rsidRPr="009D6EC8">
                    <w:rPr>
                      <w:rFonts w:cs="Arial"/>
                      <w:b/>
                    </w:rPr>
                    <w:t>Completion Date</w:t>
                  </w:r>
                </w:p>
              </w:tc>
            </w:tr>
            <w:tr w:rsidR="00A30E38" w:rsidRPr="009D6EC8" w14:paraId="4BAA2272" w14:textId="77777777" w:rsidTr="00B6196B">
              <w:tc>
                <w:tcPr>
                  <w:tcW w:w="6342" w:type="dxa"/>
                </w:tcPr>
                <w:p w14:paraId="4071729E" w14:textId="0AB5775B" w:rsidR="00A30E38" w:rsidRPr="009D6EC8" w:rsidRDefault="00A30E38" w:rsidP="009C2E97">
                  <w:pPr>
                    <w:spacing w:after="0"/>
                    <w:rPr>
                      <w:rFonts w:cs="Arial"/>
                      <w:i/>
                    </w:rPr>
                  </w:pPr>
                  <w:r w:rsidRPr="009D6EC8">
                    <w:rPr>
                      <w:rFonts w:cs="Arial"/>
                      <w:i/>
                    </w:rPr>
                    <w:t xml:space="preserve">1.  </w:t>
                  </w:r>
                  <w:r w:rsidR="00E435FF">
                    <w:rPr>
                      <w:rFonts w:cs="Arial"/>
                      <w:i/>
                    </w:rPr>
                    <w:t>Experiments to determine glyphosate inhibition concentrations for</w:t>
                  </w:r>
                  <w:r w:rsidR="00372052">
                    <w:rPr>
                      <w:rFonts w:cs="Arial"/>
                      <w:i/>
                    </w:rPr>
                    <w:t xml:space="preserve"> 15</w:t>
                  </w:r>
                  <w:r w:rsidR="00E435FF">
                    <w:rPr>
                      <w:rFonts w:cs="Arial"/>
                      <w:i/>
                    </w:rPr>
                    <w:t xml:space="preserve"> blue-green algae</w:t>
                  </w:r>
                  <w:r w:rsidR="00372052">
                    <w:rPr>
                      <w:rFonts w:cs="Arial"/>
                      <w:i/>
                    </w:rPr>
                    <w:t xml:space="preserve"> species</w:t>
                  </w:r>
                  <w:r w:rsidR="00E435FF">
                    <w:rPr>
                      <w:rFonts w:cs="Arial"/>
                      <w:i/>
                    </w:rPr>
                    <w:t>.</w:t>
                  </w:r>
                </w:p>
              </w:tc>
              <w:tc>
                <w:tcPr>
                  <w:tcW w:w="3170" w:type="dxa"/>
                </w:tcPr>
                <w:p w14:paraId="5B46F176" w14:textId="1F952A90" w:rsidR="00A30E38" w:rsidRPr="009D6EC8" w:rsidRDefault="00584A77" w:rsidP="009C2E97">
                  <w:pPr>
                    <w:spacing w:after="0"/>
                    <w:rPr>
                      <w:rFonts w:cs="Arial"/>
                      <w:i/>
                    </w:rPr>
                  </w:pPr>
                  <w:r>
                    <w:rPr>
                      <w:rFonts w:cs="Arial"/>
                      <w:i/>
                    </w:rPr>
                    <w:t>Fall 2020</w:t>
                  </w:r>
                </w:p>
              </w:tc>
            </w:tr>
            <w:tr w:rsidR="00A30E38" w:rsidRPr="009D6EC8" w14:paraId="4251529B" w14:textId="77777777" w:rsidTr="00B6196B">
              <w:tc>
                <w:tcPr>
                  <w:tcW w:w="6342" w:type="dxa"/>
                </w:tcPr>
                <w:p w14:paraId="58F83C70" w14:textId="04044200" w:rsidR="00A30E38" w:rsidRPr="009D6EC8" w:rsidRDefault="00A30E38" w:rsidP="009C2E97">
                  <w:pPr>
                    <w:spacing w:after="0"/>
                    <w:rPr>
                      <w:rFonts w:cs="Arial"/>
                      <w:i/>
                    </w:rPr>
                  </w:pPr>
                  <w:r w:rsidRPr="009D6EC8">
                    <w:rPr>
                      <w:rFonts w:cs="Arial"/>
                      <w:i/>
                    </w:rPr>
                    <w:t xml:space="preserve">2.  </w:t>
                  </w:r>
                  <w:r w:rsidR="00584A77">
                    <w:rPr>
                      <w:rFonts w:cs="Arial"/>
                      <w:i/>
                    </w:rPr>
                    <w:t xml:space="preserve">Experiments to determine glyphosate </w:t>
                  </w:r>
                  <w:r w:rsidR="00E435FF">
                    <w:rPr>
                      <w:rFonts w:cs="Arial"/>
                      <w:i/>
                    </w:rPr>
                    <w:t>inhibition</w:t>
                  </w:r>
                  <w:r w:rsidR="00584A77">
                    <w:rPr>
                      <w:rFonts w:cs="Arial"/>
                      <w:i/>
                    </w:rPr>
                    <w:t xml:space="preserve"> concentrations for </w:t>
                  </w:r>
                  <w:r w:rsidR="00372052">
                    <w:rPr>
                      <w:rFonts w:cs="Arial"/>
                      <w:i/>
                    </w:rPr>
                    <w:t xml:space="preserve">15 </w:t>
                  </w:r>
                  <w:r w:rsidR="00584A77">
                    <w:rPr>
                      <w:rFonts w:cs="Arial"/>
                      <w:i/>
                    </w:rPr>
                    <w:t>eukaryote algae</w:t>
                  </w:r>
                  <w:r w:rsidR="00372052">
                    <w:rPr>
                      <w:rFonts w:cs="Arial"/>
                      <w:i/>
                    </w:rPr>
                    <w:t xml:space="preserve"> species</w:t>
                  </w:r>
                  <w:r w:rsidR="00584A77">
                    <w:rPr>
                      <w:rFonts w:cs="Arial"/>
                      <w:i/>
                    </w:rPr>
                    <w:t>.</w:t>
                  </w:r>
                </w:p>
              </w:tc>
              <w:tc>
                <w:tcPr>
                  <w:tcW w:w="3170" w:type="dxa"/>
                </w:tcPr>
                <w:p w14:paraId="46338A66" w14:textId="053FC907" w:rsidR="00A30E38" w:rsidRPr="009D6EC8" w:rsidRDefault="00584A77" w:rsidP="009C2E97">
                  <w:pPr>
                    <w:spacing w:after="0"/>
                    <w:rPr>
                      <w:rFonts w:cs="Arial"/>
                      <w:i/>
                    </w:rPr>
                  </w:pPr>
                  <w:r>
                    <w:rPr>
                      <w:rFonts w:cs="Arial"/>
                      <w:i/>
                    </w:rPr>
                    <w:t>Spring 2021</w:t>
                  </w:r>
                </w:p>
              </w:tc>
            </w:tr>
            <w:tr w:rsidR="00A30E38" w:rsidRPr="009D6EC8" w14:paraId="7FE2D12D" w14:textId="77777777" w:rsidTr="00B6196B">
              <w:tc>
                <w:tcPr>
                  <w:tcW w:w="6342" w:type="dxa"/>
                </w:tcPr>
                <w:p w14:paraId="44DADF32" w14:textId="62902804" w:rsidR="00A30E38" w:rsidRPr="00E435FF" w:rsidRDefault="00E435FF" w:rsidP="009C2E97">
                  <w:pPr>
                    <w:spacing w:after="0"/>
                    <w:rPr>
                      <w:rFonts w:cs="Arial"/>
                      <w:i/>
                      <w:color w:val="FF0000"/>
                    </w:rPr>
                  </w:pPr>
                  <w:r w:rsidRPr="00CD4EC5">
                    <w:rPr>
                      <w:rFonts w:cs="Arial"/>
                      <w:i/>
                      <w:color w:val="000000" w:themeColor="text1"/>
                    </w:rPr>
                    <w:t>3. Work with MPCA to determine if thresholds should be adjusted</w:t>
                  </w:r>
                </w:p>
              </w:tc>
              <w:tc>
                <w:tcPr>
                  <w:tcW w:w="3170" w:type="dxa"/>
                </w:tcPr>
                <w:p w14:paraId="1BB167AB" w14:textId="59694B26" w:rsidR="00A30E38" w:rsidRPr="00CD4EC5" w:rsidRDefault="00CD4EC5" w:rsidP="009C2E97">
                  <w:pPr>
                    <w:spacing w:after="0"/>
                    <w:rPr>
                      <w:rFonts w:cs="Arial"/>
                      <w:i/>
                    </w:rPr>
                  </w:pPr>
                  <w:r>
                    <w:rPr>
                      <w:rFonts w:cs="Arial"/>
                      <w:i/>
                    </w:rPr>
                    <w:t>Spring 2021</w:t>
                  </w:r>
                </w:p>
              </w:tc>
            </w:tr>
          </w:tbl>
          <w:p w14:paraId="5913ECDA" w14:textId="77777777" w:rsidR="00E20E7B" w:rsidRDefault="00E20E7B" w:rsidP="00D27F75">
            <w:pPr>
              <w:widowControl w:val="0"/>
              <w:rPr>
                <w:rFonts w:cs="Arial"/>
                <w:b/>
              </w:rPr>
            </w:pPr>
          </w:p>
          <w:p w14:paraId="7A1E7B95" w14:textId="73D54DBB" w:rsidR="00D27F75" w:rsidRDefault="00D27F75" w:rsidP="00D27F75">
            <w:pPr>
              <w:widowControl w:val="0"/>
              <w:rPr>
                <w:rFonts w:cs="Arial"/>
                <w:b/>
              </w:rPr>
            </w:pPr>
            <w:bookmarkStart w:id="0" w:name="_GoBack"/>
            <w:bookmarkEnd w:id="0"/>
            <w:r w:rsidRPr="00EB5831">
              <w:rPr>
                <w:rFonts w:cs="Arial"/>
                <w:b/>
              </w:rPr>
              <w:t xml:space="preserve">Activity </w:t>
            </w:r>
            <w:r>
              <w:rPr>
                <w:rFonts w:cs="Arial"/>
                <w:b/>
              </w:rPr>
              <w:t>2 Title</w:t>
            </w:r>
            <w:r w:rsidRPr="00EB5831">
              <w:rPr>
                <w:rFonts w:cs="Arial"/>
                <w:b/>
              </w:rPr>
              <w:t>:</w:t>
            </w:r>
            <w:r>
              <w:rPr>
                <w:rFonts w:cs="Arial"/>
                <w:b/>
              </w:rPr>
              <w:t xml:space="preserve"> Determine whether glyphosate is stimulatory to the growth of prokaryotic and eukaryotic algae.</w:t>
            </w:r>
          </w:p>
          <w:p w14:paraId="7E77EC8D" w14:textId="79F6C5F1" w:rsidR="00D27F75" w:rsidRDefault="00D27F75" w:rsidP="00D27F75">
            <w:pPr>
              <w:widowControl w:val="0"/>
              <w:rPr>
                <w:rFonts w:cs="Arial"/>
              </w:rPr>
            </w:pPr>
            <w:r>
              <w:rPr>
                <w:rFonts w:cs="Arial"/>
                <w:b/>
              </w:rPr>
              <w:t>Description:</w:t>
            </w:r>
            <w:r w:rsidRPr="00EB5831">
              <w:rPr>
                <w:rFonts w:cs="Arial"/>
                <w:i/>
              </w:rPr>
              <w:t xml:space="preserve"> </w:t>
            </w:r>
            <w:r w:rsidR="0073049F">
              <w:rPr>
                <w:rFonts w:cs="Arial"/>
              </w:rPr>
              <w:t xml:space="preserve">Using isolates </w:t>
            </w:r>
            <w:r>
              <w:rPr>
                <w:rFonts w:cs="Arial"/>
              </w:rPr>
              <w:t>from Activity 1</w:t>
            </w:r>
            <w:r w:rsidR="0073049F">
              <w:rPr>
                <w:rFonts w:cs="Arial"/>
              </w:rPr>
              <w:t>, w</w:t>
            </w:r>
            <w:r>
              <w:rPr>
                <w:rFonts w:cs="Arial"/>
              </w:rPr>
              <w:t xml:space="preserve">e will determine if glyphosate can be used to promote the growth of the different strains of algae. Each strain will be grown under conditions </w:t>
            </w:r>
            <w:r w:rsidR="00E435FF">
              <w:rPr>
                <w:rFonts w:cs="Arial"/>
              </w:rPr>
              <w:t xml:space="preserve">where </w:t>
            </w:r>
            <w:r>
              <w:rPr>
                <w:rFonts w:cs="Arial"/>
              </w:rPr>
              <w:t>P is limiting to algal growth</w:t>
            </w:r>
            <w:r w:rsidR="00431386">
              <w:rPr>
                <w:rFonts w:cs="Arial"/>
              </w:rPr>
              <w:t xml:space="preserve"> and g</w:t>
            </w:r>
            <w:r>
              <w:rPr>
                <w:rFonts w:cs="Arial"/>
              </w:rPr>
              <w:t>lyphosate provided at varying concentrations</w:t>
            </w:r>
            <w:r w:rsidR="008F322E">
              <w:rPr>
                <w:rFonts w:cs="Arial"/>
              </w:rPr>
              <w:t xml:space="preserve">. </w:t>
            </w:r>
            <w:r w:rsidR="00431386">
              <w:rPr>
                <w:rFonts w:cs="Arial"/>
              </w:rPr>
              <w:t>W</w:t>
            </w:r>
            <w:r w:rsidR="008F322E">
              <w:rPr>
                <w:rFonts w:cs="Arial"/>
              </w:rPr>
              <w:t>e will determine the amount of glyphosate taken up into algal cells.</w:t>
            </w:r>
            <w:r>
              <w:rPr>
                <w:rFonts w:cs="Arial"/>
              </w:rPr>
              <w:t xml:space="preserve"> </w:t>
            </w:r>
            <w:r w:rsidR="00E435FF">
              <w:rPr>
                <w:rFonts w:cs="Arial"/>
              </w:rPr>
              <w:t xml:space="preserve">We will also </w:t>
            </w:r>
            <w:r w:rsidR="00772E6C">
              <w:rPr>
                <w:rFonts w:cs="Arial"/>
              </w:rPr>
              <w:t>grow</w:t>
            </w:r>
            <w:r w:rsidR="00E435FF">
              <w:rPr>
                <w:rFonts w:cs="Arial"/>
              </w:rPr>
              <w:t xml:space="preserve"> mixed cultures that contain blue-green algae and </w:t>
            </w:r>
            <w:r w:rsidR="00A30927">
              <w:rPr>
                <w:rFonts w:cs="Arial"/>
              </w:rPr>
              <w:t>other</w:t>
            </w:r>
            <w:r w:rsidR="00E435FF">
              <w:rPr>
                <w:rFonts w:cs="Arial"/>
              </w:rPr>
              <w:t xml:space="preserve"> algae to ascertain whether glyphosate promotes algal communities dominate</w:t>
            </w:r>
            <w:r w:rsidR="00431386">
              <w:rPr>
                <w:rFonts w:cs="Arial"/>
              </w:rPr>
              <w:t>d</w:t>
            </w:r>
            <w:r w:rsidR="00E435FF">
              <w:rPr>
                <w:rFonts w:cs="Arial"/>
              </w:rPr>
              <w:t xml:space="preserve"> by </w:t>
            </w:r>
            <w:r w:rsidR="00A30927">
              <w:rPr>
                <w:rFonts w:cs="Arial"/>
              </w:rPr>
              <w:t>blue greens</w:t>
            </w:r>
            <w:r w:rsidR="00E435FF">
              <w:rPr>
                <w:rFonts w:cs="Arial"/>
              </w:rPr>
              <w:t xml:space="preserve">. </w:t>
            </w:r>
            <w:r>
              <w:rPr>
                <w:rFonts w:cs="Arial"/>
              </w:rPr>
              <w:t xml:space="preserve">We hypothesize that blue-green algae should be more </w:t>
            </w:r>
            <w:r w:rsidR="008F322E">
              <w:rPr>
                <w:rFonts w:cs="Arial"/>
              </w:rPr>
              <w:t>capable of using glyphosate as a P source than eukaryotic strains</w:t>
            </w:r>
            <w:r w:rsidR="00E435FF">
              <w:rPr>
                <w:rFonts w:cs="Arial"/>
              </w:rPr>
              <w:t xml:space="preserve"> and as a result will outcompete eukaryotes in mixed cultures.</w:t>
            </w:r>
          </w:p>
          <w:p w14:paraId="65EC4BCE" w14:textId="1F052AE7" w:rsidR="00A30E38" w:rsidRPr="009D6EC8" w:rsidRDefault="00CD4EC5" w:rsidP="00431386">
            <w:pPr>
              <w:widowControl w:val="0"/>
              <w:rPr>
                <w:rFonts w:cs="Arial"/>
                <w:i/>
              </w:rPr>
            </w:pPr>
            <w:r>
              <w:rPr>
                <w:rFonts w:cs="Arial"/>
                <w:b/>
                <w:bCs/>
                <w:color w:val="000000"/>
              </w:rPr>
              <w:t>ENRTF BUDGET: $150,000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gridCol w:w="1280"/>
            </w:tblGrid>
            <w:tr w:rsidR="00A30E38" w:rsidRPr="009D6EC8" w14:paraId="28BF7480" w14:textId="77777777" w:rsidTr="00B6196B">
              <w:tc>
                <w:tcPr>
                  <w:tcW w:w="8183" w:type="dxa"/>
                </w:tcPr>
                <w:p w14:paraId="35250B02" w14:textId="77777777" w:rsidR="00A30E38" w:rsidRPr="009D6EC8" w:rsidRDefault="00A30E38" w:rsidP="009C2E97">
                  <w:pPr>
                    <w:spacing w:after="0"/>
                    <w:rPr>
                      <w:rFonts w:cs="Arial"/>
                      <w:b/>
                    </w:rPr>
                  </w:pPr>
                  <w:r w:rsidRPr="009D6EC8">
                    <w:rPr>
                      <w:rFonts w:cs="Arial"/>
                      <w:b/>
                    </w:rPr>
                    <w:t>Outcome</w:t>
                  </w:r>
                </w:p>
              </w:tc>
              <w:tc>
                <w:tcPr>
                  <w:tcW w:w="879" w:type="dxa"/>
                </w:tcPr>
                <w:p w14:paraId="69241827" w14:textId="77777777" w:rsidR="00A30E38" w:rsidRPr="009D6EC8" w:rsidRDefault="00A30E38" w:rsidP="009C2E97">
                  <w:pPr>
                    <w:spacing w:after="0"/>
                    <w:jc w:val="center"/>
                    <w:rPr>
                      <w:rFonts w:cs="Arial"/>
                      <w:b/>
                    </w:rPr>
                  </w:pPr>
                  <w:r w:rsidRPr="009D6EC8">
                    <w:rPr>
                      <w:rFonts w:cs="Arial"/>
                      <w:b/>
                    </w:rPr>
                    <w:t>Completion Date</w:t>
                  </w:r>
                </w:p>
              </w:tc>
            </w:tr>
            <w:tr w:rsidR="00A30E38" w:rsidRPr="009D6EC8" w14:paraId="721DBA06" w14:textId="77777777" w:rsidTr="00B6196B">
              <w:tc>
                <w:tcPr>
                  <w:tcW w:w="8183" w:type="dxa"/>
                </w:tcPr>
                <w:p w14:paraId="53E50E4B" w14:textId="24F23AA6" w:rsidR="00A30E38" w:rsidRPr="009D6EC8" w:rsidRDefault="00A30E38" w:rsidP="009C2E97">
                  <w:pPr>
                    <w:spacing w:after="0"/>
                    <w:rPr>
                      <w:rFonts w:cs="Arial"/>
                      <w:i/>
                    </w:rPr>
                  </w:pPr>
                  <w:r w:rsidRPr="009D6EC8">
                    <w:rPr>
                      <w:rFonts w:cs="Arial"/>
                      <w:i/>
                    </w:rPr>
                    <w:t>1.</w:t>
                  </w:r>
                  <w:r w:rsidR="009C2E97">
                    <w:rPr>
                      <w:rFonts w:cs="Arial"/>
                      <w:i/>
                    </w:rPr>
                    <w:t xml:space="preserve"> </w:t>
                  </w:r>
                  <w:r w:rsidR="00E435FF">
                    <w:rPr>
                      <w:rFonts w:cs="Arial"/>
                      <w:i/>
                    </w:rPr>
                    <w:t xml:space="preserve">Experiments to measure </w:t>
                  </w:r>
                  <w:r w:rsidR="00372052">
                    <w:rPr>
                      <w:rFonts w:cs="Arial"/>
                      <w:i/>
                    </w:rPr>
                    <w:t xml:space="preserve">15 </w:t>
                  </w:r>
                  <w:r w:rsidR="00E435FF">
                    <w:rPr>
                      <w:rFonts w:cs="Arial"/>
                      <w:i/>
                    </w:rPr>
                    <w:t xml:space="preserve">blue-green </w:t>
                  </w:r>
                  <w:r w:rsidR="00372052">
                    <w:rPr>
                      <w:rFonts w:cs="Arial"/>
                      <w:i/>
                    </w:rPr>
                    <w:t xml:space="preserve">algae species </w:t>
                  </w:r>
                  <w:r w:rsidR="00E435FF">
                    <w:rPr>
                      <w:rFonts w:cs="Arial"/>
                      <w:i/>
                    </w:rPr>
                    <w:t>stimulation by glyphosate.</w:t>
                  </w:r>
                </w:p>
              </w:tc>
              <w:tc>
                <w:tcPr>
                  <w:tcW w:w="879" w:type="dxa"/>
                </w:tcPr>
                <w:p w14:paraId="15622B24" w14:textId="76FAB9CD" w:rsidR="00A30E38" w:rsidRPr="009D6EC8" w:rsidRDefault="00E435FF" w:rsidP="009C2E97">
                  <w:pPr>
                    <w:spacing w:after="0"/>
                    <w:rPr>
                      <w:rFonts w:cs="Arial"/>
                      <w:i/>
                    </w:rPr>
                  </w:pPr>
                  <w:r>
                    <w:rPr>
                      <w:rFonts w:cs="Arial"/>
                      <w:i/>
                    </w:rPr>
                    <w:t>Fall 2021</w:t>
                  </w:r>
                </w:p>
              </w:tc>
            </w:tr>
            <w:tr w:rsidR="00A30E38" w:rsidRPr="009D6EC8" w14:paraId="270BF803" w14:textId="77777777" w:rsidTr="00B6196B">
              <w:tc>
                <w:tcPr>
                  <w:tcW w:w="8183" w:type="dxa"/>
                </w:tcPr>
                <w:p w14:paraId="79766FFD" w14:textId="18EDE208" w:rsidR="00A30E38" w:rsidRPr="009D6EC8" w:rsidRDefault="00A30E38" w:rsidP="009C2E97">
                  <w:pPr>
                    <w:spacing w:after="0"/>
                    <w:rPr>
                      <w:rFonts w:cs="Arial"/>
                      <w:i/>
                    </w:rPr>
                  </w:pPr>
                  <w:r w:rsidRPr="009D6EC8">
                    <w:rPr>
                      <w:rFonts w:cs="Arial"/>
                      <w:i/>
                    </w:rPr>
                    <w:t>2.</w:t>
                  </w:r>
                  <w:r w:rsidR="009C2E97">
                    <w:rPr>
                      <w:rFonts w:cs="Arial"/>
                      <w:i/>
                    </w:rPr>
                    <w:t xml:space="preserve"> </w:t>
                  </w:r>
                  <w:r w:rsidR="00E435FF">
                    <w:rPr>
                      <w:rFonts w:cs="Arial"/>
                      <w:i/>
                    </w:rPr>
                    <w:t xml:space="preserve">Experiments to measure </w:t>
                  </w:r>
                  <w:r w:rsidR="00372052">
                    <w:rPr>
                      <w:rFonts w:cs="Arial"/>
                      <w:i/>
                    </w:rPr>
                    <w:t xml:space="preserve">15 </w:t>
                  </w:r>
                  <w:r w:rsidR="00E435FF">
                    <w:rPr>
                      <w:rFonts w:cs="Arial"/>
                      <w:i/>
                    </w:rPr>
                    <w:t xml:space="preserve">eukaryote algae </w:t>
                  </w:r>
                  <w:r w:rsidR="00372052">
                    <w:rPr>
                      <w:rFonts w:cs="Arial"/>
                      <w:i/>
                    </w:rPr>
                    <w:t xml:space="preserve">species </w:t>
                  </w:r>
                  <w:r w:rsidR="00E435FF">
                    <w:rPr>
                      <w:rFonts w:cs="Arial"/>
                      <w:i/>
                    </w:rPr>
                    <w:t>stimulation by glyphosate.</w:t>
                  </w:r>
                </w:p>
              </w:tc>
              <w:tc>
                <w:tcPr>
                  <w:tcW w:w="879" w:type="dxa"/>
                </w:tcPr>
                <w:p w14:paraId="4FB327D5" w14:textId="4B313E04" w:rsidR="00A30E38" w:rsidRPr="009D6EC8" w:rsidRDefault="00E435FF" w:rsidP="009C2E97">
                  <w:pPr>
                    <w:spacing w:after="0"/>
                    <w:rPr>
                      <w:rFonts w:cs="Arial"/>
                      <w:i/>
                    </w:rPr>
                  </w:pPr>
                  <w:r>
                    <w:rPr>
                      <w:rFonts w:cs="Arial"/>
                      <w:i/>
                    </w:rPr>
                    <w:t>Spring 2022</w:t>
                  </w:r>
                </w:p>
              </w:tc>
            </w:tr>
            <w:tr w:rsidR="00A30E38" w:rsidRPr="009D6EC8" w14:paraId="623D41C8" w14:textId="77777777" w:rsidTr="00B6196B">
              <w:tc>
                <w:tcPr>
                  <w:tcW w:w="8183" w:type="dxa"/>
                </w:tcPr>
                <w:p w14:paraId="11365892" w14:textId="539B9FCC" w:rsidR="00A30E38" w:rsidRPr="009D6EC8" w:rsidRDefault="00372052" w:rsidP="009C2E97">
                  <w:pPr>
                    <w:spacing w:after="0"/>
                    <w:rPr>
                      <w:rFonts w:cs="Arial"/>
                      <w:i/>
                    </w:rPr>
                  </w:pPr>
                  <w:r>
                    <w:rPr>
                      <w:rFonts w:cs="Arial"/>
                      <w:i/>
                    </w:rPr>
                    <w:t>3. Determine how whole algae communities respond to low and high levels of glyphosate.</w:t>
                  </w:r>
                </w:p>
              </w:tc>
              <w:tc>
                <w:tcPr>
                  <w:tcW w:w="879" w:type="dxa"/>
                </w:tcPr>
                <w:p w14:paraId="6CF08578" w14:textId="4E8B9772" w:rsidR="00A30E38" w:rsidRPr="009D6EC8" w:rsidRDefault="00E435FF" w:rsidP="009C2E97">
                  <w:pPr>
                    <w:spacing w:after="0"/>
                    <w:rPr>
                      <w:rFonts w:cs="Arial"/>
                      <w:i/>
                    </w:rPr>
                  </w:pPr>
                  <w:r>
                    <w:rPr>
                      <w:rFonts w:cs="Arial"/>
                      <w:i/>
                    </w:rPr>
                    <w:t>Fall 2022</w:t>
                  </w:r>
                </w:p>
              </w:tc>
            </w:tr>
          </w:tbl>
          <w:p w14:paraId="69BE7527" w14:textId="63698CEE" w:rsidR="00B01E61" w:rsidRDefault="00B01E61" w:rsidP="00B01E61">
            <w:pPr>
              <w:widowControl w:val="0"/>
              <w:rPr>
                <w:rFonts w:cs="Arial"/>
                <w:b/>
              </w:rPr>
            </w:pPr>
            <w:r w:rsidRPr="00EB5831">
              <w:rPr>
                <w:rFonts w:cs="Arial"/>
                <w:b/>
              </w:rPr>
              <w:t xml:space="preserve">Activity </w:t>
            </w:r>
            <w:r w:rsidR="00E9062C">
              <w:rPr>
                <w:rFonts w:cs="Arial"/>
                <w:b/>
              </w:rPr>
              <w:t>3</w:t>
            </w:r>
            <w:r>
              <w:rPr>
                <w:rFonts w:cs="Arial"/>
                <w:b/>
              </w:rPr>
              <w:t xml:space="preserve"> Title</w:t>
            </w:r>
            <w:r w:rsidRPr="00EB5831">
              <w:rPr>
                <w:rFonts w:cs="Arial"/>
                <w:b/>
              </w:rPr>
              <w:t>:</w:t>
            </w:r>
            <w:r>
              <w:rPr>
                <w:rFonts w:cs="Arial"/>
                <w:b/>
              </w:rPr>
              <w:t xml:space="preserve"> </w:t>
            </w:r>
            <w:r w:rsidR="00CD4EC5">
              <w:rPr>
                <w:rFonts w:cs="Arial"/>
                <w:b/>
              </w:rPr>
              <w:t xml:space="preserve">Examine </w:t>
            </w:r>
            <w:r w:rsidR="006D2BD2">
              <w:rPr>
                <w:rFonts w:cs="Arial"/>
                <w:b/>
              </w:rPr>
              <w:t>coupling between glyphosate loading and blue-</w:t>
            </w:r>
            <w:r w:rsidR="00B36F9C">
              <w:rPr>
                <w:rFonts w:cs="Arial"/>
                <w:b/>
              </w:rPr>
              <w:t>green algae in</w:t>
            </w:r>
            <w:r w:rsidR="00E9062C">
              <w:rPr>
                <w:rFonts w:cs="Arial"/>
                <w:b/>
              </w:rPr>
              <w:t xml:space="preserve"> Minnesota lakes</w:t>
            </w:r>
            <w:r>
              <w:rPr>
                <w:rFonts w:cs="Arial"/>
                <w:b/>
              </w:rPr>
              <w:t>.</w:t>
            </w:r>
          </w:p>
          <w:p w14:paraId="016E28C3" w14:textId="5CFF6FF5" w:rsidR="00D27F75" w:rsidRDefault="00B01E61" w:rsidP="00431386">
            <w:pPr>
              <w:widowControl w:val="0"/>
              <w:rPr>
                <w:rFonts w:cs="Arial"/>
                <w:b/>
                <w:bCs/>
                <w:color w:val="000000"/>
              </w:rPr>
            </w:pPr>
            <w:r>
              <w:rPr>
                <w:rFonts w:cs="Arial"/>
                <w:b/>
              </w:rPr>
              <w:t>Description:</w:t>
            </w:r>
            <w:r w:rsidR="00E9062C">
              <w:rPr>
                <w:rFonts w:cs="Arial"/>
                <w:b/>
              </w:rPr>
              <w:t xml:space="preserve"> </w:t>
            </w:r>
            <w:r w:rsidR="00792121">
              <w:rPr>
                <w:rFonts w:cs="Arial"/>
              </w:rPr>
              <w:t xml:space="preserve">We will collect samples from lakes in Minnesota to quantify the concentrations of glyphosate and </w:t>
            </w:r>
            <w:r w:rsidR="006D2BD2">
              <w:rPr>
                <w:rFonts w:cs="Arial"/>
              </w:rPr>
              <w:t>its</w:t>
            </w:r>
            <w:r w:rsidR="00792121">
              <w:rPr>
                <w:rFonts w:cs="Arial"/>
              </w:rPr>
              <w:t xml:space="preserve"> degradation products. </w:t>
            </w:r>
            <w:r w:rsidR="00E9062C">
              <w:rPr>
                <w:rFonts w:cs="Arial"/>
              </w:rPr>
              <w:t xml:space="preserve">We will </w:t>
            </w:r>
            <w:r w:rsidR="00A30E38">
              <w:rPr>
                <w:rFonts w:cs="Arial"/>
              </w:rPr>
              <w:t xml:space="preserve">seasonally </w:t>
            </w:r>
            <w:r w:rsidR="00792121">
              <w:rPr>
                <w:rFonts w:cs="Arial"/>
              </w:rPr>
              <w:t>survey lakes located in agricultural regions to capture run-off events and periods of herbicide application</w:t>
            </w:r>
            <w:r w:rsidR="00D52656">
              <w:rPr>
                <w:rFonts w:cs="Arial"/>
              </w:rPr>
              <w:t xml:space="preserve"> and quantify blue-green abundance</w:t>
            </w:r>
            <w:r w:rsidR="00792121">
              <w:rPr>
                <w:rFonts w:cs="Arial"/>
              </w:rPr>
              <w:t>. At each visit we will collect DNA samples t</w:t>
            </w:r>
            <w:r w:rsidR="00A30E38">
              <w:rPr>
                <w:rFonts w:cs="Arial"/>
              </w:rPr>
              <w:t>o</w:t>
            </w:r>
            <w:r w:rsidR="00792121">
              <w:rPr>
                <w:rFonts w:cs="Arial"/>
              </w:rPr>
              <w:t xml:space="preserve"> </w:t>
            </w:r>
            <w:r w:rsidR="00A30E38">
              <w:rPr>
                <w:rFonts w:cs="Arial"/>
              </w:rPr>
              <w:t xml:space="preserve">measure </w:t>
            </w:r>
            <w:r w:rsidR="00792121">
              <w:rPr>
                <w:rFonts w:cs="Arial"/>
              </w:rPr>
              <w:t xml:space="preserve">the abundance of genes related to glyphosate break-down </w:t>
            </w:r>
            <w:r w:rsidR="00A30E38">
              <w:rPr>
                <w:rFonts w:cs="Arial"/>
              </w:rPr>
              <w:t xml:space="preserve">and to characterize the microbial community. We hypothesize that blue-green algae </w:t>
            </w:r>
            <w:r w:rsidR="00A30927">
              <w:rPr>
                <w:rFonts w:cs="Arial"/>
              </w:rPr>
              <w:t xml:space="preserve">that are </w:t>
            </w:r>
            <w:r w:rsidR="00A30E38">
              <w:rPr>
                <w:rFonts w:cs="Arial"/>
              </w:rPr>
              <w:t>able to breakdown glyphosate will be more abundant in glyphosate-rich lakes in agricultural landscapes.</w:t>
            </w:r>
            <w:r w:rsidR="00E9062C">
              <w:rPr>
                <w:rFonts w:cs="Arial"/>
              </w:rPr>
              <w:t xml:space="preserve"> </w:t>
            </w:r>
          </w:p>
          <w:p w14:paraId="57A354AC" w14:textId="44BF9624" w:rsidR="005431D4" w:rsidRPr="00217C2A" w:rsidRDefault="005431D4" w:rsidP="00431386">
            <w:pPr>
              <w:autoSpaceDE w:val="0"/>
              <w:autoSpaceDN w:val="0"/>
              <w:adjustRightInd w:val="0"/>
              <w:rPr>
                <w:sz w:val="18"/>
                <w:szCs w:val="18"/>
              </w:rPr>
            </w:pPr>
            <w:r>
              <w:rPr>
                <w:rFonts w:cs="Arial"/>
                <w:b/>
                <w:bCs/>
                <w:color w:val="000000"/>
              </w:rPr>
              <w:t>ENRTF BUDGET: $</w:t>
            </w:r>
            <w:r w:rsidR="00D27F75">
              <w:rPr>
                <w:rFonts w:cs="Arial"/>
                <w:b/>
                <w:bCs/>
                <w:color w:val="000000"/>
              </w:rPr>
              <w:t>1</w:t>
            </w:r>
            <w:r w:rsidR="00A92F87">
              <w:rPr>
                <w:rFonts w:cs="Arial"/>
                <w:b/>
                <w:bCs/>
                <w:color w:val="000000"/>
              </w:rPr>
              <w:t>27</w:t>
            </w:r>
            <w:r w:rsidR="00D27F75">
              <w:rPr>
                <w:rFonts w:cs="Arial"/>
                <w:b/>
                <w:bCs/>
                <w:color w:val="000000"/>
              </w:rPr>
              <w:t>,000</w:t>
            </w:r>
          </w:p>
        </w:tc>
        <w:tc>
          <w:tcPr>
            <w:tcW w:w="1280" w:type="dxa"/>
          </w:tcPr>
          <w:p w14:paraId="2FF42FF0" w14:textId="77777777" w:rsidR="00686B53" w:rsidRPr="00EB5831" w:rsidRDefault="00686B53" w:rsidP="00351EA6">
            <w:pPr>
              <w:rPr>
                <w:rFonts w:cs="Arial"/>
              </w:rPr>
            </w:pPr>
          </w:p>
        </w:tc>
      </w:tr>
      <w:tr w:rsidR="006E0EFD" w:rsidRPr="009D6EC8" w14:paraId="26630C58" w14:textId="77777777" w:rsidTr="00E20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6" w:type="dxa"/>
        </w:trPr>
        <w:tc>
          <w:tcPr>
            <w:tcW w:w="8280" w:type="dxa"/>
          </w:tcPr>
          <w:p w14:paraId="55F058A6" w14:textId="77777777" w:rsidR="006E0EFD" w:rsidRPr="009D6EC8" w:rsidRDefault="00A13F26" w:rsidP="006E0EFD">
            <w:pPr>
              <w:rPr>
                <w:rFonts w:cs="Arial"/>
                <w:b/>
              </w:rPr>
            </w:pPr>
            <w:r w:rsidRPr="009D6EC8">
              <w:rPr>
                <w:rFonts w:cs="Arial"/>
                <w:b/>
              </w:rPr>
              <w:t>Outcome</w:t>
            </w:r>
          </w:p>
        </w:tc>
        <w:tc>
          <w:tcPr>
            <w:tcW w:w="1272" w:type="dxa"/>
          </w:tcPr>
          <w:p w14:paraId="0085C1A8" w14:textId="77777777" w:rsidR="006E0EFD" w:rsidRPr="009D6EC8" w:rsidRDefault="006E0EFD" w:rsidP="005F7237">
            <w:pPr>
              <w:jc w:val="center"/>
              <w:rPr>
                <w:rFonts w:cs="Arial"/>
                <w:b/>
              </w:rPr>
            </w:pPr>
            <w:r w:rsidRPr="009D6EC8">
              <w:rPr>
                <w:rFonts w:cs="Arial"/>
                <w:b/>
              </w:rPr>
              <w:t>Completion Date</w:t>
            </w:r>
          </w:p>
        </w:tc>
      </w:tr>
      <w:tr w:rsidR="006E0EFD" w:rsidRPr="009D6EC8" w14:paraId="050F037A" w14:textId="77777777" w:rsidTr="00E20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6" w:type="dxa"/>
        </w:trPr>
        <w:tc>
          <w:tcPr>
            <w:tcW w:w="8280" w:type="dxa"/>
          </w:tcPr>
          <w:p w14:paraId="40DD5C4B" w14:textId="18889C01" w:rsidR="006E0EFD" w:rsidRPr="009D6EC8" w:rsidRDefault="006E0EFD" w:rsidP="008949EE">
            <w:pPr>
              <w:rPr>
                <w:rFonts w:cs="Arial"/>
                <w:i/>
              </w:rPr>
            </w:pPr>
            <w:r w:rsidRPr="009D6EC8">
              <w:rPr>
                <w:rFonts w:cs="Arial"/>
                <w:i/>
              </w:rPr>
              <w:t xml:space="preserve">1.  </w:t>
            </w:r>
            <w:r w:rsidR="00E435FF">
              <w:rPr>
                <w:rFonts w:cs="Arial"/>
                <w:i/>
              </w:rPr>
              <w:t>Complete survey of lakes</w:t>
            </w:r>
            <w:r w:rsidR="008E5EDB">
              <w:rPr>
                <w:rFonts w:cs="Arial"/>
                <w:i/>
              </w:rPr>
              <w:t xml:space="preserve"> </w:t>
            </w:r>
            <w:r w:rsidR="00372052">
              <w:rPr>
                <w:rFonts w:cs="Arial"/>
                <w:i/>
              </w:rPr>
              <w:t>25 DNR Sentinel lakes</w:t>
            </w:r>
          </w:p>
        </w:tc>
        <w:tc>
          <w:tcPr>
            <w:tcW w:w="1272" w:type="dxa"/>
          </w:tcPr>
          <w:p w14:paraId="072A83CD" w14:textId="4CDBFC92" w:rsidR="006E0EFD" w:rsidRPr="009D6EC8" w:rsidRDefault="00584A77" w:rsidP="006E0EFD">
            <w:pPr>
              <w:rPr>
                <w:rFonts w:cs="Arial"/>
                <w:i/>
              </w:rPr>
            </w:pPr>
            <w:r>
              <w:rPr>
                <w:rFonts w:cs="Arial"/>
                <w:i/>
              </w:rPr>
              <w:t>Fall 2021</w:t>
            </w:r>
          </w:p>
        </w:tc>
      </w:tr>
      <w:tr w:rsidR="006E0EFD" w:rsidRPr="009D6EC8" w14:paraId="132553C5" w14:textId="77777777" w:rsidTr="00E20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6" w:type="dxa"/>
        </w:trPr>
        <w:tc>
          <w:tcPr>
            <w:tcW w:w="8280" w:type="dxa"/>
          </w:tcPr>
          <w:p w14:paraId="2C05150C" w14:textId="1087CD12" w:rsidR="006E0EFD" w:rsidRPr="009D6EC8" w:rsidRDefault="006E0EFD" w:rsidP="008949EE">
            <w:pPr>
              <w:rPr>
                <w:rFonts w:cs="Arial"/>
                <w:i/>
              </w:rPr>
            </w:pPr>
            <w:r w:rsidRPr="009D6EC8">
              <w:rPr>
                <w:rFonts w:cs="Arial"/>
                <w:i/>
              </w:rPr>
              <w:t xml:space="preserve">2.  </w:t>
            </w:r>
            <w:r w:rsidR="00E435FF">
              <w:rPr>
                <w:rFonts w:cs="Arial"/>
                <w:i/>
              </w:rPr>
              <w:t>Analyze community data and determine if glyphosate-rich lakes are more likely to have harmful algal blooms.</w:t>
            </w:r>
          </w:p>
        </w:tc>
        <w:tc>
          <w:tcPr>
            <w:tcW w:w="1272" w:type="dxa"/>
          </w:tcPr>
          <w:p w14:paraId="5A0529E6" w14:textId="4BEEB4D3" w:rsidR="006E0EFD" w:rsidRPr="009D6EC8" w:rsidRDefault="00E435FF" w:rsidP="006E0EFD">
            <w:pPr>
              <w:rPr>
                <w:rFonts w:cs="Arial"/>
                <w:i/>
              </w:rPr>
            </w:pPr>
            <w:r>
              <w:rPr>
                <w:rFonts w:cs="Arial"/>
                <w:i/>
              </w:rPr>
              <w:t>Summer 2022</w:t>
            </w:r>
          </w:p>
        </w:tc>
      </w:tr>
      <w:tr w:rsidR="006E0EFD" w:rsidRPr="00E435FF" w14:paraId="6680030E" w14:textId="77777777" w:rsidTr="00E20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6" w:type="dxa"/>
        </w:trPr>
        <w:tc>
          <w:tcPr>
            <w:tcW w:w="8280" w:type="dxa"/>
          </w:tcPr>
          <w:p w14:paraId="1A0B5FAC" w14:textId="020D84EB" w:rsidR="006E0EFD" w:rsidRPr="00E435FF" w:rsidRDefault="006E0EFD" w:rsidP="008949EE">
            <w:pPr>
              <w:rPr>
                <w:rFonts w:cs="Arial"/>
                <w:i/>
              </w:rPr>
            </w:pPr>
            <w:r w:rsidRPr="00E435FF">
              <w:rPr>
                <w:rFonts w:cs="Arial"/>
                <w:i/>
              </w:rPr>
              <w:t xml:space="preserve">3.  </w:t>
            </w:r>
            <w:r w:rsidR="00372052">
              <w:rPr>
                <w:rFonts w:cs="Arial"/>
                <w:i/>
              </w:rPr>
              <w:t>Establish and share</w:t>
            </w:r>
            <w:r w:rsidR="00E435FF" w:rsidRPr="00E435FF">
              <w:rPr>
                <w:rFonts w:cs="Arial"/>
                <w:i/>
              </w:rPr>
              <w:t xml:space="preserve"> seasonally resolved glyphosate concentrations with the Minnesota Department of Agriculture.</w:t>
            </w:r>
          </w:p>
        </w:tc>
        <w:tc>
          <w:tcPr>
            <w:tcW w:w="1272" w:type="dxa"/>
          </w:tcPr>
          <w:p w14:paraId="4161F851" w14:textId="17AF5746" w:rsidR="006E0EFD" w:rsidRPr="00E435FF" w:rsidRDefault="00E435FF" w:rsidP="006E0EFD">
            <w:pPr>
              <w:rPr>
                <w:rFonts w:cs="Arial"/>
                <w:i/>
              </w:rPr>
            </w:pPr>
            <w:r w:rsidRPr="00E435FF">
              <w:rPr>
                <w:rFonts w:cs="Arial"/>
                <w:i/>
              </w:rPr>
              <w:t>Summer 2022</w:t>
            </w:r>
          </w:p>
        </w:tc>
      </w:tr>
    </w:tbl>
    <w:p w14:paraId="28428187" w14:textId="77777777" w:rsidR="00B6196B" w:rsidRDefault="00073C96" w:rsidP="0081629B">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D52656">
        <w:rPr>
          <w:rFonts w:cs="Arial"/>
          <w:b/>
          <w:bCs/>
          <w:color w:val="000000"/>
        </w:rPr>
        <w:t xml:space="preserve"> </w:t>
      </w:r>
    </w:p>
    <w:p w14:paraId="3747988C" w14:textId="3EE915E0" w:rsidR="005431D4" w:rsidRPr="009D6EC8" w:rsidRDefault="00B6196B" w:rsidP="00E20E7B">
      <w:pPr>
        <w:tabs>
          <w:tab w:val="left" w:pos="540"/>
        </w:tabs>
        <w:autoSpaceDE w:val="0"/>
        <w:autoSpaceDN w:val="0"/>
        <w:adjustRightInd w:val="0"/>
        <w:ind w:right="450"/>
        <w:rPr>
          <w:rFonts w:cs="Arial"/>
          <w:b/>
        </w:rPr>
      </w:pPr>
      <w:r>
        <w:rPr>
          <w:rFonts w:cs="Arial"/>
          <w:bCs/>
          <w:color w:val="000000"/>
        </w:rPr>
        <w:t xml:space="preserve">Partners receiving funds: James Cotner, PhD (Project manager, Univ. Minnesota); Nicole Hayes, PhD (Collaborator, Univ. Minnesota), Brianna Loeks-Johnson (Collaborator, Univ. Minnesota), Joseph Rabaey (Collaborator, Univ. Minnesota); Partners not receiving funds: </w:t>
      </w:r>
      <w:r w:rsidR="00D52656">
        <w:rPr>
          <w:rFonts w:cs="Arial"/>
          <w:bCs/>
          <w:color w:val="000000"/>
        </w:rPr>
        <w:t>MN Dept. of Agriculture</w:t>
      </w:r>
      <w:r w:rsidR="0081629B">
        <w:rPr>
          <w:rFonts w:cs="Arial"/>
          <w:bCs/>
          <w:color w:val="000000"/>
        </w:rPr>
        <w:t>, MN DNR</w:t>
      </w:r>
      <w:r w:rsidR="00372052">
        <w:rPr>
          <w:rFonts w:cs="Arial"/>
          <w:bCs/>
          <w:color w:val="000000"/>
        </w:rPr>
        <w:t>, MN PCA.</w:t>
      </w:r>
    </w:p>
    <w:p w14:paraId="50B412B1" w14:textId="6FBBF0A1"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p>
    <w:p w14:paraId="1B80108F" w14:textId="435790B8" w:rsidR="006E0EFD" w:rsidRPr="009D6EC8" w:rsidRDefault="00E435FF" w:rsidP="00E20E7B">
      <w:pPr>
        <w:tabs>
          <w:tab w:val="left" w:pos="7185"/>
        </w:tabs>
        <w:ind w:right="450"/>
        <w:rPr>
          <w:rFonts w:cs="Arial"/>
        </w:rPr>
      </w:pPr>
      <w:r w:rsidRPr="00E435FF">
        <w:rPr>
          <w:rFonts w:cs="Arial"/>
        </w:rPr>
        <w:t xml:space="preserve">The proposed work </w:t>
      </w:r>
      <w:r w:rsidR="004A7E6A">
        <w:rPr>
          <w:rFonts w:cs="Arial"/>
        </w:rPr>
        <w:t xml:space="preserve">expands the focus on novel contaminants in Minnesota’s freshwaters to include unexpected outcomes of </w:t>
      </w:r>
      <w:r w:rsidR="0029739D">
        <w:rPr>
          <w:rFonts w:cs="Arial"/>
        </w:rPr>
        <w:t xml:space="preserve">agricultural pollutants. </w:t>
      </w:r>
      <w:r w:rsidR="000D5C25">
        <w:rPr>
          <w:rFonts w:cs="Arial"/>
        </w:rPr>
        <w:t xml:space="preserve">As discussed above, we will work with MN PCA to develop standards for glyphosate in freshwaters, which does not presently exist and we will share information on glyphosate with MN Dept. of Ag. We will seek additional funding for this work from MN Sea Grant and the National Science Foundation. </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F7AD9" w14:textId="77777777" w:rsidR="00FC6FD0" w:rsidRDefault="00FC6FD0" w:rsidP="00533120">
      <w:r>
        <w:separator/>
      </w:r>
    </w:p>
  </w:endnote>
  <w:endnote w:type="continuationSeparator" w:id="0">
    <w:p w14:paraId="1C4582DF" w14:textId="77777777" w:rsidR="00FC6FD0" w:rsidRDefault="00FC6FD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A837" w14:textId="047C32F1" w:rsidR="005F7237" w:rsidRDefault="005F7237">
    <w:pPr>
      <w:pStyle w:val="Footer"/>
      <w:jc w:val="center"/>
    </w:pPr>
    <w:r>
      <w:fldChar w:fldCharType="begin"/>
    </w:r>
    <w:r>
      <w:instrText xml:space="preserve"> PAGE   \* MERGEFORMAT </w:instrText>
    </w:r>
    <w:r>
      <w:fldChar w:fldCharType="separate"/>
    </w:r>
    <w:r w:rsidR="00E20E7B">
      <w:rPr>
        <w:noProof/>
      </w:rPr>
      <w:t>1</w:t>
    </w:r>
    <w:r>
      <w:fldChar w:fldCharType="end"/>
    </w:r>
  </w:p>
  <w:p w14:paraId="00D5F57D"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E900"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9208EA6"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69893" w14:textId="77777777" w:rsidR="00FC6FD0" w:rsidRDefault="00FC6FD0" w:rsidP="00533120">
      <w:r>
        <w:separator/>
      </w:r>
    </w:p>
  </w:footnote>
  <w:footnote w:type="continuationSeparator" w:id="0">
    <w:p w14:paraId="72424F32" w14:textId="77777777" w:rsidR="00FC6FD0" w:rsidRDefault="00FC6FD0"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3E4AE6A7" w14:textId="77777777" w:rsidTr="00E47145">
      <w:tc>
        <w:tcPr>
          <w:tcW w:w="1278" w:type="dxa"/>
        </w:tcPr>
        <w:p w14:paraId="080A1A66"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E02C895" wp14:editId="5BD5E015">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6A36398" w14:textId="77777777" w:rsidR="005F7237" w:rsidRPr="00A42E60" w:rsidRDefault="005F7237" w:rsidP="00EB5831">
          <w:pPr>
            <w:rPr>
              <w:b/>
            </w:rPr>
          </w:pPr>
          <w:r w:rsidRPr="00A42E60">
            <w:rPr>
              <w:b/>
            </w:rPr>
            <w:t>Environment and Natural Resources Trust Fund (ENRTF)</w:t>
          </w:r>
        </w:p>
        <w:p w14:paraId="7010599E" w14:textId="5D1C9B97" w:rsidR="005F7237" w:rsidRPr="00EB5831" w:rsidRDefault="001E42AC" w:rsidP="00E20E7B">
          <w:pPr>
            <w:pStyle w:val="Header"/>
            <w:rPr>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tc>
    </w:tr>
  </w:tbl>
  <w:p w14:paraId="5A7F7001"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3028338C" w14:textId="77777777" w:rsidTr="00C660F0">
      <w:tc>
        <w:tcPr>
          <w:tcW w:w="1098" w:type="dxa"/>
        </w:tcPr>
        <w:p w14:paraId="09B7DE89" w14:textId="77777777" w:rsidR="005F7237" w:rsidRPr="00EB5831" w:rsidRDefault="009541C4" w:rsidP="00C660F0">
          <w:pPr>
            <w:pStyle w:val="Header"/>
            <w:rPr>
              <w:lang w:val="en-US" w:eastAsia="en-US"/>
            </w:rPr>
          </w:pPr>
          <w:r>
            <w:rPr>
              <w:noProof/>
              <w:lang w:val="en-US" w:eastAsia="en-US"/>
            </w:rPr>
            <w:drawing>
              <wp:inline distT="0" distB="0" distL="0" distR="0" wp14:anchorId="37026B4F" wp14:editId="72DB7BD4">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DE0F3A3" w14:textId="77777777" w:rsidR="005F7237" w:rsidRPr="00A42E60" w:rsidRDefault="005F7237" w:rsidP="00C660F0">
          <w:pPr>
            <w:rPr>
              <w:b/>
            </w:rPr>
          </w:pPr>
          <w:r w:rsidRPr="00A42E60">
            <w:rPr>
              <w:b/>
            </w:rPr>
            <w:t>Environment and Natural Resources Trust Fund (ENRTF)</w:t>
          </w:r>
        </w:p>
        <w:p w14:paraId="69EFAFCF" w14:textId="77777777" w:rsidR="005F7237" w:rsidRPr="00EB5831" w:rsidRDefault="005F7237" w:rsidP="00806460">
          <w:pPr>
            <w:pStyle w:val="Header"/>
            <w:rPr>
              <w:b/>
              <w:lang w:val="en-US" w:eastAsia="en-US"/>
            </w:rPr>
          </w:pPr>
          <w:r w:rsidRPr="00EB5831">
            <w:rPr>
              <w:b/>
              <w:lang w:val="en-US" w:eastAsia="en-US"/>
            </w:rPr>
            <w:t>2014 Main Proposal</w:t>
          </w:r>
        </w:p>
        <w:p w14:paraId="2B387689"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14E4A2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5C25"/>
    <w:rsid w:val="000D7F31"/>
    <w:rsid w:val="00100A34"/>
    <w:rsid w:val="00107495"/>
    <w:rsid w:val="001225BC"/>
    <w:rsid w:val="00165716"/>
    <w:rsid w:val="0018005E"/>
    <w:rsid w:val="00186FCC"/>
    <w:rsid w:val="001B0368"/>
    <w:rsid w:val="001E42AC"/>
    <w:rsid w:val="002159DD"/>
    <w:rsid w:val="00217C2A"/>
    <w:rsid w:val="00227DC1"/>
    <w:rsid w:val="00230C3F"/>
    <w:rsid w:val="00234953"/>
    <w:rsid w:val="00290692"/>
    <w:rsid w:val="00290E4E"/>
    <w:rsid w:val="00292C82"/>
    <w:rsid w:val="0029726A"/>
    <w:rsid w:val="0029739D"/>
    <w:rsid w:val="002B469A"/>
    <w:rsid w:val="002F5748"/>
    <w:rsid w:val="0030751E"/>
    <w:rsid w:val="003205A7"/>
    <w:rsid w:val="003239FE"/>
    <w:rsid w:val="00347E7A"/>
    <w:rsid w:val="00351EA6"/>
    <w:rsid w:val="00354888"/>
    <w:rsid w:val="003578A0"/>
    <w:rsid w:val="00372052"/>
    <w:rsid w:val="0037310D"/>
    <w:rsid w:val="0039481E"/>
    <w:rsid w:val="003B1A18"/>
    <w:rsid w:val="003F32CA"/>
    <w:rsid w:val="00404B9C"/>
    <w:rsid w:val="00431386"/>
    <w:rsid w:val="00434505"/>
    <w:rsid w:val="004357AE"/>
    <w:rsid w:val="004530F7"/>
    <w:rsid w:val="00454495"/>
    <w:rsid w:val="00487D08"/>
    <w:rsid w:val="0049103C"/>
    <w:rsid w:val="004A43B9"/>
    <w:rsid w:val="004A4BE4"/>
    <w:rsid w:val="004A7E6A"/>
    <w:rsid w:val="004E300B"/>
    <w:rsid w:val="004E6113"/>
    <w:rsid w:val="00524503"/>
    <w:rsid w:val="00533120"/>
    <w:rsid w:val="005431D4"/>
    <w:rsid w:val="00550B29"/>
    <w:rsid w:val="005648A9"/>
    <w:rsid w:val="00584A77"/>
    <w:rsid w:val="00585152"/>
    <w:rsid w:val="005A1D00"/>
    <w:rsid w:val="005A4FB1"/>
    <w:rsid w:val="005B4AA7"/>
    <w:rsid w:val="005C565D"/>
    <w:rsid w:val="005F0DBA"/>
    <w:rsid w:val="005F1006"/>
    <w:rsid w:val="005F2C01"/>
    <w:rsid w:val="005F7237"/>
    <w:rsid w:val="00602068"/>
    <w:rsid w:val="00614DF2"/>
    <w:rsid w:val="00640A9A"/>
    <w:rsid w:val="006562F0"/>
    <w:rsid w:val="00686B53"/>
    <w:rsid w:val="006B4A77"/>
    <w:rsid w:val="006D2BD2"/>
    <w:rsid w:val="006E0EFD"/>
    <w:rsid w:val="006F7F24"/>
    <w:rsid w:val="00721661"/>
    <w:rsid w:val="0073049F"/>
    <w:rsid w:val="00731A65"/>
    <w:rsid w:val="00772E6C"/>
    <w:rsid w:val="00792121"/>
    <w:rsid w:val="0079335E"/>
    <w:rsid w:val="007936A9"/>
    <w:rsid w:val="007A1F05"/>
    <w:rsid w:val="007B284F"/>
    <w:rsid w:val="007B3535"/>
    <w:rsid w:val="007F64F8"/>
    <w:rsid w:val="00806460"/>
    <w:rsid w:val="008076FB"/>
    <w:rsid w:val="0081629B"/>
    <w:rsid w:val="008949EE"/>
    <w:rsid w:val="008A088E"/>
    <w:rsid w:val="008A4498"/>
    <w:rsid w:val="008A5FD9"/>
    <w:rsid w:val="008D2242"/>
    <w:rsid w:val="008E5EDB"/>
    <w:rsid w:val="008F322E"/>
    <w:rsid w:val="00910DB8"/>
    <w:rsid w:val="00912C65"/>
    <w:rsid w:val="009541C4"/>
    <w:rsid w:val="009579C5"/>
    <w:rsid w:val="009A49DE"/>
    <w:rsid w:val="009B6749"/>
    <w:rsid w:val="009C2E97"/>
    <w:rsid w:val="009C4875"/>
    <w:rsid w:val="009D0E57"/>
    <w:rsid w:val="009D14B4"/>
    <w:rsid w:val="009D6EC8"/>
    <w:rsid w:val="00A03E0A"/>
    <w:rsid w:val="00A13F26"/>
    <w:rsid w:val="00A30927"/>
    <w:rsid w:val="00A30E38"/>
    <w:rsid w:val="00A42E60"/>
    <w:rsid w:val="00A45A41"/>
    <w:rsid w:val="00A7257F"/>
    <w:rsid w:val="00A73B75"/>
    <w:rsid w:val="00A92F87"/>
    <w:rsid w:val="00AB6CFF"/>
    <w:rsid w:val="00AC2C07"/>
    <w:rsid w:val="00AC2CDE"/>
    <w:rsid w:val="00AD3337"/>
    <w:rsid w:val="00B01E61"/>
    <w:rsid w:val="00B36F9C"/>
    <w:rsid w:val="00B6196B"/>
    <w:rsid w:val="00B728BF"/>
    <w:rsid w:val="00B8369A"/>
    <w:rsid w:val="00B86A22"/>
    <w:rsid w:val="00BC28A6"/>
    <w:rsid w:val="00BD122F"/>
    <w:rsid w:val="00BF4D9E"/>
    <w:rsid w:val="00C02DAD"/>
    <w:rsid w:val="00C37838"/>
    <w:rsid w:val="00C40E48"/>
    <w:rsid w:val="00C56DD7"/>
    <w:rsid w:val="00C660F0"/>
    <w:rsid w:val="00C72BD9"/>
    <w:rsid w:val="00C82CD3"/>
    <w:rsid w:val="00C85E92"/>
    <w:rsid w:val="00C952E4"/>
    <w:rsid w:val="00CB652D"/>
    <w:rsid w:val="00CD4EC5"/>
    <w:rsid w:val="00CE20AC"/>
    <w:rsid w:val="00D02E23"/>
    <w:rsid w:val="00D121DD"/>
    <w:rsid w:val="00D25619"/>
    <w:rsid w:val="00D27F75"/>
    <w:rsid w:val="00D32CFB"/>
    <w:rsid w:val="00D52656"/>
    <w:rsid w:val="00DB1785"/>
    <w:rsid w:val="00DD694A"/>
    <w:rsid w:val="00DE5B6E"/>
    <w:rsid w:val="00E20E7B"/>
    <w:rsid w:val="00E33DBF"/>
    <w:rsid w:val="00E435FF"/>
    <w:rsid w:val="00E47145"/>
    <w:rsid w:val="00E5279E"/>
    <w:rsid w:val="00E6122B"/>
    <w:rsid w:val="00E619C4"/>
    <w:rsid w:val="00E76D57"/>
    <w:rsid w:val="00E9062C"/>
    <w:rsid w:val="00EA468C"/>
    <w:rsid w:val="00EA712F"/>
    <w:rsid w:val="00EB5831"/>
    <w:rsid w:val="00ED39A5"/>
    <w:rsid w:val="00ED44A0"/>
    <w:rsid w:val="00F42507"/>
    <w:rsid w:val="00F70DE4"/>
    <w:rsid w:val="00F9232B"/>
    <w:rsid w:val="00F92864"/>
    <w:rsid w:val="00F96203"/>
    <w:rsid w:val="00F97C94"/>
    <w:rsid w:val="00FC6FD0"/>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0590F"/>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9B"/>
    <w:pPr>
      <w:spacing w:after="1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E9062C"/>
    <w:rPr>
      <w:sz w:val="16"/>
      <w:szCs w:val="16"/>
    </w:rPr>
  </w:style>
  <w:style w:type="paragraph" w:styleId="CommentText">
    <w:name w:val="annotation text"/>
    <w:basedOn w:val="Normal"/>
    <w:link w:val="CommentTextChar"/>
    <w:uiPriority w:val="99"/>
    <w:semiHidden/>
    <w:unhideWhenUsed/>
    <w:rsid w:val="00E9062C"/>
    <w:rPr>
      <w:sz w:val="20"/>
      <w:szCs w:val="20"/>
    </w:rPr>
  </w:style>
  <w:style w:type="character" w:customStyle="1" w:styleId="CommentTextChar">
    <w:name w:val="Comment Text Char"/>
    <w:basedOn w:val="DefaultParagraphFont"/>
    <w:link w:val="CommentText"/>
    <w:uiPriority w:val="99"/>
    <w:semiHidden/>
    <w:rsid w:val="00E9062C"/>
  </w:style>
  <w:style w:type="paragraph" w:styleId="CommentSubject">
    <w:name w:val="annotation subject"/>
    <w:basedOn w:val="CommentText"/>
    <w:next w:val="CommentText"/>
    <w:link w:val="CommentSubjectChar"/>
    <w:uiPriority w:val="99"/>
    <w:semiHidden/>
    <w:unhideWhenUsed/>
    <w:rsid w:val="00E9062C"/>
    <w:rPr>
      <w:b/>
      <w:bCs/>
    </w:rPr>
  </w:style>
  <w:style w:type="character" w:customStyle="1" w:styleId="CommentSubjectChar">
    <w:name w:val="Comment Subject Char"/>
    <w:basedOn w:val="CommentTextChar"/>
    <w:link w:val="CommentSubject"/>
    <w:uiPriority w:val="99"/>
    <w:semiHidden/>
    <w:rsid w:val="00E9062C"/>
    <w:rPr>
      <w:b/>
      <w:bCs/>
    </w:rPr>
  </w:style>
  <w:style w:type="character" w:styleId="Hyperlink">
    <w:name w:val="Hyperlink"/>
    <w:basedOn w:val="DefaultParagraphFont"/>
    <w:uiPriority w:val="99"/>
    <w:unhideWhenUsed/>
    <w:rsid w:val="00585152"/>
    <w:rPr>
      <w:color w:val="0000FF" w:themeColor="hyperlink"/>
      <w:u w:val="single"/>
    </w:rPr>
  </w:style>
  <w:style w:type="character" w:customStyle="1" w:styleId="UnresolvedMention">
    <w:name w:val="Unresolved Mention"/>
    <w:basedOn w:val="DefaultParagraphFont"/>
    <w:uiPriority w:val="99"/>
    <w:semiHidden/>
    <w:unhideWhenUsed/>
    <w:rsid w:val="0058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17382016">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1020</Words>
  <Characters>5820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2018-11-29T16:36:00Z</cp:lastPrinted>
  <dcterms:created xsi:type="dcterms:W3CDTF">2019-05-10T14:30:00Z</dcterms:created>
  <dcterms:modified xsi:type="dcterms:W3CDTF">2019-05-10T14:30:00Z</dcterms:modified>
</cp:coreProperties>
</file>