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9E52" w14:textId="77777777" w:rsidR="005A4FB1" w:rsidRDefault="005A4FB1" w:rsidP="005A4FB1">
      <w:pPr>
        <w:jc w:val="center"/>
        <w:rPr>
          <w:rFonts w:cs="Arial"/>
          <w:i/>
        </w:rPr>
      </w:pPr>
    </w:p>
    <w:p w14:paraId="0D4A636C" w14:textId="456F874B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DA652B">
        <w:rPr>
          <w:rFonts w:cs="Arial"/>
          <w:b/>
        </w:rPr>
        <w:t xml:space="preserve">  </w:t>
      </w:r>
      <w:r w:rsidR="002830B7">
        <w:rPr>
          <w:rFonts w:ascii="Calibri-Bold" w:hAnsi="Calibri-Bold" w:cs="Calibri-Bold"/>
          <w:b/>
          <w:bCs/>
        </w:rPr>
        <w:t>Novel field method</w:t>
      </w:r>
      <w:r w:rsidR="0029126A">
        <w:rPr>
          <w:rFonts w:ascii="Calibri-Bold" w:hAnsi="Calibri-Bold" w:cs="Calibri-Bold"/>
          <w:b/>
          <w:bCs/>
        </w:rPr>
        <w:t>s</w:t>
      </w:r>
      <w:r w:rsidR="002830B7">
        <w:rPr>
          <w:rFonts w:ascii="Calibri-Bold" w:hAnsi="Calibri-Bold" w:cs="Calibri-Bold"/>
          <w:b/>
          <w:bCs/>
        </w:rPr>
        <w:t xml:space="preserve"> to </w:t>
      </w:r>
      <w:r w:rsidR="00003279">
        <w:rPr>
          <w:rFonts w:ascii="Calibri-Bold" w:hAnsi="Calibri-Bold" w:cs="Calibri-Bold"/>
          <w:b/>
          <w:bCs/>
        </w:rPr>
        <w:t>evaluate groundwater quality</w:t>
      </w:r>
      <w:r w:rsidR="009D50C3">
        <w:rPr>
          <w:rFonts w:ascii="Calibri-Bold" w:hAnsi="Calibri-Bold" w:cs="Calibri-Bold"/>
          <w:b/>
          <w:bCs/>
        </w:rPr>
        <w:t xml:space="preserve"> investments</w:t>
      </w:r>
      <w:r w:rsidR="00003279">
        <w:rPr>
          <w:rFonts w:ascii="Calibri-Bold" w:hAnsi="Calibri-Bold" w:cs="Calibri-Bold"/>
          <w:b/>
          <w:bCs/>
        </w:rPr>
        <w:t xml:space="preserve"> </w:t>
      </w:r>
    </w:p>
    <w:p w14:paraId="79D4D01E" w14:textId="77777777" w:rsidR="006E0EFD" w:rsidRPr="009D6EC8" w:rsidRDefault="006E0EFD" w:rsidP="006E0EFD">
      <w:pPr>
        <w:rPr>
          <w:rFonts w:cs="Arial"/>
        </w:rPr>
      </w:pPr>
    </w:p>
    <w:p w14:paraId="7440FD57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7C43E8EA" w14:textId="77777777" w:rsidR="008D2242" w:rsidRDefault="008D2242" w:rsidP="006E0EFD">
      <w:pPr>
        <w:rPr>
          <w:rFonts w:cs="Arial"/>
        </w:rPr>
      </w:pPr>
    </w:p>
    <w:p w14:paraId="544B5204" w14:textId="77777777" w:rsidR="004F1E4A" w:rsidRPr="00967A1C" w:rsidRDefault="001F5CE4" w:rsidP="00BA4DFD">
      <w:pPr>
        <w:autoSpaceDE w:val="0"/>
        <w:autoSpaceDN w:val="0"/>
        <w:adjustRightInd w:val="0"/>
        <w:rPr>
          <w:rFonts w:ascii="Calibri-Bold" w:hAnsi="Calibri-Bold" w:cs="Calibri-Bold"/>
          <w:bCs/>
        </w:rPr>
      </w:pPr>
      <w:r w:rsidRPr="00967A1C">
        <w:rPr>
          <w:rFonts w:ascii="Calibri-Bold" w:hAnsi="Calibri-Bold" w:cs="Calibri-Bold"/>
          <w:bCs/>
        </w:rPr>
        <w:t xml:space="preserve">Will </w:t>
      </w:r>
      <w:r w:rsidR="004F1E4A" w:rsidRPr="00967A1C">
        <w:rPr>
          <w:rFonts w:ascii="Calibri-Bold" w:hAnsi="Calibri-Bold" w:cs="Calibri-Bold"/>
          <w:bCs/>
        </w:rPr>
        <w:t>forcing</w:t>
      </w:r>
      <w:r w:rsidR="00C47AB5" w:rsidRPr="00967A1C">
        <w:rPr>
          <w:rFonts w:ascii="Calibri-Bold" w:hAnsi="Calibri-Bold" w:cs="Calibri-Bold"/>
          <w:bCs/>
        </w:rPr>
        <w:t xml:space="preserve"> a</w:t>
      </w:r>
      <w:r w:rsidR="004F1E4A" w:rsidRPr="00967A1C">
        <w:rPr>
          <w:rFonts w:ascii="Calibri-Bold" w:hAnsi="Calibri-Bold" w:cs="Calibri-Bold"/>
          <w:bCs/>
        </w:rPr>
        <w:t xml:space="preserve"> farmer to use best management practice</w:t>
      </w:r>
      <w:r w:rsidRPr="00967A1C">
        <w:rPr>
          <w:rFonts w:ascii="Calibri-Bold" w:hAnsi="Calibri-Bold" w:cs="Calibri-Bold"/>
          <w:bCs/>
        </w:rPr>
        <w:t>s</w:t>
      </w:r>
      <w:r w:rsidR="004F1E4A" w:rsidRPr="00967A1C">
        <w:rPr>
          <w:rFonts w:ascii="Calibri-Bold" w:hAnsi="Calibri-Bold" w:cs="Calibri-Bold"/>
          <w:bCs/>
        </w:rPr>
        <w:t xml:space="preserve"> result in cleaner groundwater for a municipal water supply? </w:t>
      </w:r>
      <w:r w:rsidR="00C47AB5" w:rsidRPr="00967A1C">
        <w:rPr>
          <w:rFonts w:ascii="Calibri-Bold" w:hAnsi="Calibri-Bold" w:cs="Calibri-Bold"/>
          <w:bCs/>
        </w:rPr>
        <w:t xml:space="preserve">What if neighboring farmers don’t also participate? </w:t>
      </w:r>
      <w:r w:rsidR="00967A1C" w:rsidRPr="00967A1C">
        <w:rPr>
          <w:rFonts w:ascii="Calibri-Bold" w:hAnsi="Calibri-Bold" w:cs="Calibri-Bold"/>
          <w:bCs/>
        </w:rPr>
        <w:t xml:space="preserve"> How much of a difference can one land owner make?</w:t>
      </w:r>
      <w:r w:rsidR="00C47AB5" w:rsidRPr="00967A1C">
        <w:rPr>
          <w:rFonts w:ascii="Calibri-Bold" w:hAnsi="Calibri-Bold" w:cs="Calibri-Bold"/>
          <w:bCs/>
        </w:rPr>
        <w:t xml:space="preserve"> </w:t>
      </w:r>
      <w:r w:rsidR="004F1E4A" w:rsidRPr="00967A1C">
        <w:rPr>
          <w:rFonts w:ascii="Calibri-Bold" w:hAnsi="Calibri-Bold" w:cs="Calibri-Bold"/>
          <w:bCs/>
        </w:rPr>
        <w:t xml:space="preserve">SHOW ME THE DATA! </w:t>
      </w:r>
    </w:p>
    <w:p w14:paraId="68964AC7" w14:textId="77777777" w:rsidR="004F1E4A" w:rsidRPr="00967A1C" w:rsidRDefault="004F1E4A" w:rsidP="00BA4DFD">
      <w:pPr>
        <w:autoSpaceDE w:val="0"/>
        <w:autoSpaceDN w:val="0"/>
        <w:adjustRightInd w:val="0"/>
        <w:rPr>
          <w:rFonts w:ascii="Calibri-Bold" w:hAnsi="Calibri-Bold" w:cs="Calibri-Bold"/>
          <w:bCs/>
        </w:rPr>
      </w:pPr>
    </w:p>
    <w:p w14:paraId="00FEC3A0" w14:textId="02CF9EBD" w:rsidR="00582AF4" w:rsidRDefault="00C555F8" w:rsidP="00A654ED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The proposed project will demonstrate “direct‐push” vertical groundwater sampling as a robust sampling strategy for evaluating investments made to reduce nitrate leaching to groundwater. </w:t>
      </w:r>
      <w:r w:rsidR="00A654ED">
        <w:rPr>
          <w:rFonts w:cs="Calibri"/>
        </w:rPr>
        <w:t xml:space="preserve">The methods developed in this project are intended to </w:t>
      </w:r>
      <w:r w:rsidR="00582AF4">
        <w:rPr>
          <w:rFonts w:cs="Calibri"/>
        </w:rPr>
        <w:t xml:space="preserve">be </w:t>
      </w:r>
      <w:r w:rsidR="00A654ED">
        <w:rPr>
          <w:rFonts w:cs="Calibri"/>
        </w:rPr>
        <w:t>u</w:t>
      </w:r>
      <w:r w:rsidR="00F01B58">
        <w:rPr>
          <w:rFonts w:cs="Calibri"/>
        </w:rPr>
        <w:t>sed</w:t>
      </w:r>
      <w:r w:rsidR="00A654ED">
        <w:rPr>
          <w:rFonts w:cs="Calibri"/>
        </w:rPr>
        <w:t xml:space="preserve"> </w:t>
      </w:r>
      <w:r w:rsidR="00F01B58">
        <w:rPr>
          <w:rFonts w:cs="Calibri"/>
        </w:rPr>
        <w:t xml:space="preserve">in the future </w:t>
      </w:r>
      <w:r w:rsidR="00A654ED">
        <w:rPr>
          <w:rFonts w:cs="Calibri"/>
        </w:rPr>
        <w:t>by</w:t>
      </w:r>
      <w:r w:rsidR="00582AF4">
        <w:rPr>
          <w:rFonts w:cs="Calibri"/>
        </w:rPr>
        <w:t xml:space="preserve"> stakeholders who need to evaluate land management investments made to achieve groundwater quality outcomes for water supplies in shallow, vulnerable aquifers.  </w:t>
      </w:r>
    </w:p>
    <w:p w14:paraId="43A73F2E" w14:textId="77777777" w:rsidR="00582AF4" w:rsidRDefault="00582AF4" w:rsidP="00BA4DFD">
      <w:pPr>
        <w:autoSpaceDE w:val="0"/>
        <w:autoSpaceDN w:val="0"/>
        <w:adjustRightInd w:val="0"/>
        <w:rPr>
          <w:rFonts w:ascii="Calibri-Bold" w:hAnsi="Calibri-Bold" w:cs="Calibri-Bold"/>
          <w:bCs/>
        </w:rPr>
      </w:pPr>
    </w:p>
    <w:p w14:paraId="55D61A23" w14:textId="3C750145" w:rsidR="00924AC2" w:rsidRDefault="00501428" w:rsidP="00967A1C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“</w:t>
      </w:r>
      <w:r w:rsidRPr="00967A1C">
        <w:rPr>
          <w:rFonts w:cs="Calibri"/>
        </w:rPr>
        <w:t>Direct push</w:t>
      </w:r>
      <w:r>
        <w:rPr>
          <w:rFonts w:cs="Calibri"/>
        </w:rPr>
        <w:t>”</w:t>
      </w:r>
      <w:r w:rsidRPr="00967A1C">
        <w:rPr>
          <w:rFonts w:cs="Calibri"/>
        </w:rPr>
        <w:t xml:space="preserve"> </w:t>
      </w:r>
      <w:r>
        <w:rPr>
          <w:rFonts w:cs="Calibri"/>
        </w:rPr>
        <w:t>rigs</w:t>
      </w:r>
      <w:r w:rsidRPr="00967A1C">
        <w:rPr>
          <w:rFonts w:cs="Calibri"/>
        </w:rPr>
        <w:t xml:space="preserve"> provide temporary access to groundwater by simply pushing a sample screen, pump, and a series of sensors through soil and aquifer to </w:t>
      </w:r>
      <w:r w:rsidRPr="00967A1C">
        <w:rPr>
          <w:rFonts w:ascii="Calibri-Italic" w:hAnsi="Calibri-Italic" w:cs="Calibri-Italic"/>
          <w:i/>
          <w:iCs/>
        </w:rPr>
        <w:t xml:space="preserve">provide instantaneous data in the field about groundwater </w:t>
      </w:r>
      <w:proofErr w:type="spellStart"/>
      <w:r w:rsidRPr="00967A1C">
        <w:rPr>
          <w:rFonts w:ascii="Calibri-Italic" w:hAnsi="Calibri-Italic" w:cs="Calibri-Italic"/>
          <w:i/>
          <w:iCs/>
        </w:rPr>
        <w:t>flowpaths</w:t>
      </w:r>
      <w:proofErr w:type="spellEnd"/>
      <w:r w:rsidRPr="00967A1C">
        <w:rPr>
          <w:rFonts w:ascii="Calibri-Italic" w:hAnsi="Calibri-Italic" w:cs="Calibri-Italic"/>
          <w:i/>
          <w:iCs/>
        </w:rPr>
        <w:t xml:space="preserve"> and vertical contaminant distribution</w:t>
      </w:r>
      <w:r w:rsidRPr="00967A1C">
        <w:rPr>
          <w:rFonts w:cs="Calibri"/>
        </w:rPr>
        <w:t>.</w:t>
      </w:r>
      <w:r>
        <w:rPr>
          <w:rFonts w:cs="Calibri"/>
        </w:rPr>
        <w:t xml:space="preserve">  </w:t>
      </w:r>
      <w:r w:rsidRPr="00967A1C">
        <w:rPr>
          <w:rFonts w:cs="Calibri"/>
        </w:rPr>
        <w:t xml:space="preserve">Direct‐push technology has been used for decades to map point‐source contaminants like petroleum. Recent improvements in direct‐push samplers and nitrate sensors make possible rapid </w:t>
      </w:r>
      <w:r w:rsidR="00924AC2">
        <w:rPr>
          <w:rFonts w:cs="Calibri"/>
        </w:rPr>
        <w:t xml:space="preserve">field </w:t>
      </w:r>
      <w:r w:rsidRPr="00967A1C">
        <w:rPr>
          <w:rFonts w:cs="Calibri"/>
        </w:rPr>
        <w:t>measurements of the vertical distribution of nitrate. This method provides much higher resolution data</w:t>
      </w:r>
      <w:r>
        <w:rPr>
          <w:rFonts w:cs="Calibri"/>
        </w:rPr>
        <w:t xml:space="preserve"> about </w:t>
      </w:r>
      <w:r w:rsidR="00924AC2">
        <w:rPr>
          <w:rFonts w:cs="Calibri"/>
        </w:rPr>
        <w:t xml:space="preserve">aquifer </w:t>
      </w:r>
      <w:r>
        <w:rPr>
          <w:rFonts w:cs="Calibri"/>
        </w:rPr>
        <w:t xml:space="preserve">nitrate distributions and </w:t>
      </w:r>
      <w:proofErr w:type="spellStart"/>
      <w:r>
        <w:rPr>
          <w:rFonts w:cs="Calibri"/>
        </w:rPr>
        <w:t>flowpaths</w:t>
      </w:r>
      <w:proofErr w:type="spellEnd"/>
      <w:r w:rsidRPr="00967A1C">
        <w:rPr>
          <w:rFonts w:cs="Calibri"/>
        </w:rPr>
        <w:t xml:space="preserve"> </w:t>
      </w:r>
      <w:r>
        <w:rPr>
          <w:rFonts w:cs="Calibri"/>
        </w:rPr>
        <w:t>compared to traditional monitoring wells</w:t>
      </w:r>
      <w:r w:rsidRPr="00967A1C">
        <w:rPr>
          <w:rFonts w:cs="Calibri"/>
        </w:rPr>
        <w:t xml:space="preserve">. </w:t>
      </w:r>
      <w:r w:rsidR="00924AC2">
        <w:rPr>
          <w:rFonts w:cs="Calibri"/>
        </w:rPr>
        <w:t xml:space="preserve"> Compiling vertical profile data from several locations within drinking water s</w:t>
      </w:r>
      <w:r w:rsidR="00713AEF">
        <w:rPr>
          <w:rFonts w:cs="Calibri"/>
        </w:rPr>
        <w:t>upply</w:t>
      </w:r>
      <w:r w:rsidR="00924AC2">
        <w:rPr>
          <w:rFonts w:cs="Calibri"/>
        </w:rPr>
        <w:t xml:space="preserve"> management areas will provide insights into the spatial distribution of nitrate contributions to groundwater. </w:t>
      </w:r>
      <w:bookmarkStart w:id="0" w:name="_GoBack"/>
      <w:bookmarkEnd w:id="0"/>
    </w:p>
    <w:p w14:paraId="2156D29A" w14:textId="72096145" w:rsidR="00C02DAD" w:rsidRDefault="00C02DAD" w:rsidP="006E0EFD">
      <w:pPr>
        <w:rPr>
          <w:rFonts w:cs="Arial"/>
          <w:b/>
        </w:rPr>
      </w:pPr>
    </w:p>
    <w:p w14:paraId="5FC18C12" w14:textId="5326D241" w:rsidR="00F01B58" w:rsidRDefault="00924AC2" w:rsidP="00F01B5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Many water suppliers and private well owners in Minnesota are faced with high nitrate and desperately need data to inform investments made to improve groundwater quality</w:t>
      </w:r>
      <w:r w:rsidR="00713AEF">
        <w:rPr>
          <w:rFonts w:cs="Calibri"/>
        </w:rPr>
        <w:t>.</w:t>
      </w:r>
      <w:r>
        <w:rPr>
          <w:rFonts w:cs="Calibri"/>
        </w:rPr>
        <w:t xml:space="preserve">  The project will take place </w:t>
      </w:r>
      <w:r w:rsidR="00F01B58">
        <w:rPr>
          <w:rFonts w:cs="Calibri"/>
        </w:rPr>
        <w:t>in southwestern Minnesota (in Lincoln, Pipestone, and Rock Counties)</w:t>
      </w:r>
      <w:r>
        <w:rPr>
          <w:rFonts w:cs="Calibri"/>
        </w:rPr>
        <w:t xml:space="preserve"> where several water suppliers are</w:t>
      </w:r>
      <w:r w:rsidR="00F01B58">
        <w:rPr>
          <w:rFonts w:cs="Calibri"/>
        </w:rPr>
        <w:t xml:space="preserve"> currently facing high nitrate in drinking water supplies</w:t>
      </w:r>
      <w:r>
        <w:rPr>
          <w:rFonts w:cs="Calibri"/>
        </w:rPr>
        <w:t xml:space="preserve">.  </w:t>
      </w:r>
    </w:p>
    <w:p w14:paraId="56E9BB41" w14:textId="77777777" w:rsidR="00F01B58" w:rsidRDefault="00F01B58" w:rsidP="006E0EFD">
      <w:pPr>
        <w:rPr>
          <w:rFonts w:cs="Arial"/>
          <w:b/>
        </w:rPr>
      </w:pPr>
    </w:p>
    <w:p w14:paraId="1ADA1086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3AB8AF75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C555F8" w:rsidRPr="00EB5831" w14:paraId="3FA6CDDE" w14:textId="77777777" w:rsidTr="003C3A96">
        <w:tc>
          <w:tcPr>
            <w:tcW w:w="10476" w:type="dxa"/>
          </w:tcPr>
          <w:p w14:paraId="249B52B5" w14:textId="77777777" w:rsidR="00C555F8" w:rsidRDefault="00C555F8" w:rsidP="00967A1C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D</w:t>
            </w:r>
            <w:r>
              <w:rPr>
                <w:rFonts w:ascii="Calibri-Bold" w:hAnsi="Calibri-Bold" w:cs="Calibri-Bold"/>
                <w:b/>
                <w:bCs/>
              </w:rPr>
              <w:t xml:space="preserve">esign and test direct‐push vertical groundwater sampling system </w:t>
            </w:r>
          </w:p>
          <w:p w14:paraId="7C36D141" w14:textId="02C93E22" w:rsidR="00C555F8" w:rsidRDefault="00C555F8" w:rsidP="00217C2A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The primary objective of this activity is to acquire, design, and test the vertical groundwater sampling system.  A significant expenditure in this activity is the purchase of a Geoprobe HPT/EC system.  This system logs vertical profiles of hydraulic conductivity and electrical conductivity in real time in the field. The first outcome will be a functioning water quality (including nitrate) pumping and logging system capable of generating data in the field.  A data acquisition platform will be devised to efficiently capture digital data in the field.  The second outcome will be a standard operating procedure for logging hydrogeological and water quality data in vertical profiles with a direct push rig.  This will be accomplished through field trials.  </w:t>
            </w:r>
          </w:p>
          <w:p w14:paraId="5E069F6D" w14:textId="77777777" w:rsidR="00C555F8" w:rsidRDefault="00C555F8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44C11DF3" w14:textId="3ACD0D91" w:rsidR="00C555F8" w:rsidRPr="00704B3E" w:rsidRDefault="00C555F8" w:rsidP="00704B3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713AEF">
              <w:rPr>
                <w:rFonts w:cs="Arial"/>
                <w:b/>
                <w:bCs/>
                <w:color w:val="000000"/>
              </w:rPr>
              <w:t>80,400</w:t>
            </w:r>
          </w:p>
        </w:tc>
      </w:tr>
    </w:tbl>
    <w:p w14:paraId="7D348846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6E0EFD" w:rsidRPr="009D6EC8" w14:paraId="79141FBF" w14:textId="77777777" w:rsidTr="00C555F8">
        <w:tc>
          <w:tcPr>
            <w:tcW w:w="8285" w:type="dxa"/>
          </w:tcPr>
          <w:p w14:paraId="635CE255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5" w:type="dxa"/>
          </w:tcPr>
          <w:p w14:paraId="7D63CF49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730F6A4E" w14:textId="77777777" w:rsidTr="00C555F8">
        <w:tc>
          <w:tcPr>
            <w:tcW w:w="8285" w:type="dxa"/>
          </w:tcPr>
          <w:p w14:paraId="55575B79" w14:textId="59BED1CF" w:rsidR="006E0EFD" w:rsidRPr="009D6EC8" w:rsidRDefault="00C555F8" w:rsidP="008949E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  <w:r w:rsidR="00CD7E20">
              <w:rPr>
                <w:rFonts w:cs="Arial"/>
                <w:i/>
              </w:rPr>
              <w:t>.  Design field data</w:t>
            </w:r>
            <w:r>
              <w:rPr>
                <w:rFonts w:cs="Arial"/>
                <w:i/>
              </w:rPr>
              <w:t xml:space="preserve"> sampling and</w:t>
            </w:r>
            <w:r w:rsidR="00CD7E20">
              <w:rPr>
                <w:rFonts w:cs="Arial"/>
                <w:i/>
              </w:rPr>
              <w:t xml:space="preserve"> logging system</w:t>
            </w:r>
          </w:p>
        </w:tc>
        <w:tc>
          <w:tcPr>
            <w:tcW w:w="1785" w:type="dxa"/>
          </w:tcPr>
          <w:p w14:paraId="135D082D" w14:textId="77777777" w:rsidR="006E0EFD" w:rsidRPr="009D6EC8" w:rsidRDefault="006B63A5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March, 2021</w:t>
            </w:r>
          </w:p>
        </w:tc>
      </w:tr>
      <w:tr w:rsidR="006E0EFD" w:rsidRPr="009D6EC8" w14:paraId="076D312C" w14:textId="77777777" w:rsidTr="00C555F8">
        <w:tc>
          <w:tcPr>
            <w:tcW w:w="8285" w:type="dxa"/>
          </w:tcPr>
          <w:p w14:paraId="316E28E0" w14:textId="06888505" w:rsidR="00CD7E20" w:rsidRDefault="00C555F8" w:rsidP="00CD7E2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>
              <w:rPr>
                <w:rFonts w:cs="Arial"/>
                <w:i/>
              </w:rPr>
              <w:t>2</w:t>
            </w:r>
            <w:r w:rsidR="00CD7E20">
              <w:rPr>
                <w:rFonts w:cs="Arial"/>
                <w:i/>
              </w:rPr>
              <w:t xml:space="preserve">.  </w:t>
            </w:r>
            <w:r w:rsidR="00CD7E20">
              <w:rPr>
                <w:rFonts w:ascii="Calibri-Italic" w:hAnsi="Calibri-Italic" w:cs="Calibri-Italic"/>
                <w:i/>
                <w:iCs/>
              </w:rPr>
              <w:t>Develop direct‐push groundwater sampling protocol: vertical profiles of hydrogeologic</w:t>
            </w:r>
          </w:p>
          <w:p w14:paraId="6A22DAA3" w14:textId="77777777" w:rsidR="00CD7E20" w:rsidRDefault="00CD7E20" w:rsidP="00CD7E2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</w:rPr>
              <w:t>properties, instantaneous measurements of nitrate, oxygen, pH, conductance,</w:t>
            </w:r>
          </w:p>
          <w:p w14:paraId="562A8112" w14:textId="77777777" w:rsidR="006E0EFD" w:rsidRPr="009D6EC8" w:rsidRDefault="00CD7E20" w:rsidP="00CD7E20">
            <w:pPr>
              <w:rPr>
                <w:rFonts w:cs="Arial"/>
                <w:i/>
              </w:rPr>
            </w:pPr>
            <w:r>
              <w:rPr>
                <w:rFonts w:ascii="Calibri-Italic" w:hAnsi="Calibri-Italic" w:cs="Calibri-Italic"/>
                <w:i/>
                <w:iCs/>
              </w:rPr>
              <w:t xml:space="preserve">temperature, and </w:t>
            </w:r>
            <w:r w:rsidR="006B63A5">
              <w:rPr>
                <w:rFonts w:ascii="Calibri-Italic" w:hAnsi="Calibri-Italic" w:cs="Calibri-Italic"/>
                <w:i/>
                <w:iCs/>
              </w:rPr>
              <w:t xml:space="preserve">lab confirmation </w:t>
            </w:r>
            <w:r>
              <w:rPr>
                <w:rFonts w:ascii="Calibri-Italic" w:hAnsi="Calibri-Italic" w:cs="Calibri-Italic"/>
                <w:i/>
                <w:iCs/>
              </w:rPr>
              <w:t>sample</w:t>
            </w:r>
            <w:r w:rsidR="006B63A5">
              <w:rPr>
                <w:rFonts w:ascii="Calibri-Italic" w:hAnsi="Calibri-Italic" w:cs="Calibri-Italic"/>
                <w:i/>
                <w:iCs/>
              </w:rPr>
              <w:t>s</w:t>
            </w:r>
            <w:r>
              <w:rPr>
                <w:rFonts w:ascii="Calibri-Italic" w:hAnsi="Calibri-Italic" w:cs="Calibri-Italic"/>
                <w:i/>
                <w:iCs/>
              </w:rPr>
              <w:t>)</w:t>
            </w:r>
          </w:p>
        </w:tc>
        <w:tc>
          <w:tcPr>
            <w:tcW w:w="1785" w:type="dxa"/>
          </w:tcPr>
          <w:p w14:paraId="37A671EC" w14:textId="3B721E0A" w:rsidR="006E0EFD" w:rsidRPr="009D6EC8" w:rsidRDefault="006B63A5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</w:t>
            </w:r>
            <w:r w:rsidR="00DB4D57">
              <w:rPr>
                <w:rFonts w:cs="Arial"/>
                <w:i/>
              </w:rPr>
              <w:t>ly</w:t>
            </w:r>
            <w:r>
              <w:rPr>
                <w:rFonts w:cs="Arial"/>
                <w:i/>
              </w:rPr>
              <w:t>, 2021</w:t>
            </w:r>
          </w:p>
        </w:tc>
      </w:tr>
    </w:tbl>
    <w:p w14:paraId="03040E93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4DAFC99C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C555F8" w:rsidRPr="00EB5831" w14:paraId="5CA44CF7" w14:textId="77777777" w:rsidTr="00F043EC">
        <w:tc>
          <w:tcPr>
            <w:tcW w:w="10476" w:type="dxa"/>
          </w:tcPr>
          <w:p w14:paraId="6A78CEE3" w14:textId="154CF5F1" w:rsidR="00C555F8" w:rsidRDefault="00C555F8" w:rsidP="001D783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 xml:space="preserve">2 Title: </w:t>
            </w:r>
            <w:r w:rsidR="00704B3E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 xml:space="preserve">onduct field study to evaluate investments made in best management practices.  </w:t>
            </w:r>
          </w:p>
          <w:p w14:paraId="111236B3" w14:textId="2FCB2C01" w:rsidR="00713AEF" w:rsidRDefault="00C555F8" w:rsidP="00713AEF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>The primary objective of this activity is to design</w:t>
            </w:r>
            <w:r w:rsidR="00713AEF">
              <w:rPr>
                <w:rFonts w:cs="Arial"/>
                <w:i/>
              </w:rPr>
              <w:t>,</w:t>
            </w:r>
            <w:r>
              <w:rPr>
                <w:rFonts w:cs="Arial"/>
                <w:i/>
              </w:rPr>
              <w:t xml:space="preserve"> conduct</w:t>
            </w:r>
            <w:r w:rsidR="00713AEF">
              <w:rPr>
                <w:rFonts w:cs="Arial"/>
                <w:i/>
              </w:rPr>
              <w:t>, and document</w:t>
            </w:r>
            <w:r>
              <w:rPr>
                <w:rFonts w:cs="Arial"/>
                <w:i/>
              </w:rPr>
              <w:t xml:space="preserve"> a field study that demonstrates the vertical profiling method.  The first outcome will be a sampling strategy optimized to demonstrate the effects that</w:t>
            </w:r>
            <w:r w:rsidR="00713AEF">
              <w:rPr>
                <w:rFonts w:cs="Arial"/>
                <w:i/>
              </w:rPr>
              <w:t xml:space="preserve"> different areas within a drinking water supply management area</w:t>
            </w:r>
            <w:r>
              <w:rPr>
                <w:rFonts w:cs="Arial"/>
                <w:i/>
              </w:rPr>
              <w:t xml:space="preserve"> fields have on groundwater quality. </w:t>
            </w:r>
            <w:r w:rsidR="00713AEF">
              <w:rPr>
                <w:rFonts w:cs="Arial"/>
                <w:i/>
              </w:rPr>
              <w:t xml:space="preserve"> H</w:t>
            </w:r>
            <w:r>
              <w:rPr>
                <w:rFonts w:cs="Arial"/>
                <w:i/>
              </w:rPr>
              <w:t>istorical</w:t>
            </w:r>
            <w:r w:rsidR="00704B3E">
              <w:rPr>
                <w:rFonts w:cs="Arial"/>
                <w:i/>
              </w:rPr>
              <w:t xml:space="preserve"> and geologic</w:t>
            </w:r>
            <w:r>
              <w:rPr>
                <w:rFonts w:cs="Arial"/>
                <w:i/>
              </w:rPr>
              <w:t xml:space="preserve"> </w:t>
            </w:r>
            <w:r w:rsidR="00713AEF">
              <w:rPr>
                <w:rFonts w:cs="Arial"/>
                <w:i/>
              </w:rPr>
              <w:t xml:space="preserve">data </w:t>
            </w:r>
            <w:r>
              <w:rPr>
                <w:rFonts w:cs="Arial"/>
                <w:i/>
              </w:rPr>
              <w:t>will be</w:t>
            </w:r>
            <w:r w:rsidR="00704B3E">
              <w:rPr>
                <w:rFonts w:cs="Arial"/>
                <w:i/>
              </w:rPr>
              <w:t xml:space="preserve"> used </w:t>
            </w:r>
            <w:r>
              <w:rPr>
                <w:rFonts w:cs="Arial"/>
                <w:i/>
              </w:rPr>
              <w:t xml:space="preserve">to identify important sampling locations.  The second outcome will be a data set containing vertical profiles of hydrogeologic properties and water quality upgradient and downgradient of </w:t>
            </w:r>
            <w:r w:rsidR="00704B3E">
              <w:rPr>
                <w:rFonts w:cs="Arial"/>
                <w:i/>
              </w:rPr>
              <w:t xml:space="preserve">land parcels managed with BMPs.  </w:t>
            </w:r>
            <w:r>
              <w:rPr>
                <w:rFonts w:cs="Arial"/>
                <w:i/>
              </w:rPr>
              <w:t xml:space="preserve">Duplicate water-quality samples will be collected and sent to the lab to confirm that field nitrate sensors are producing accurate data.  </w:t>
            </w:r>
            <w:r w:rsidR="00713AEF">
              <w:rPr>
                <w:rFonts w:cs="Arial"/>
                <w:i/>
              </w:rPr>
              <w:t xml:space="preserve">The </w:t>
            </w:r>
            <w:r w:rsidR="00704B3E">
              <w:rPr>
                <w:rFonts w:cs="Arial"/>
                <w:i/>
              </w:rPr>
              <w:t>third ou</w:t>
            </w:r>
            <w:r w:rsidR="00713AEF">
              <w:rPr>
                <w:rFonts w:cs="Arial"/>
                <w:i/>
              </w:rPr>
              <w:t>tcome will be a dissemination of project</w:t>
            </w:r>
            <w:r w:rsidR="00704B3E">
              <w:rPr>
                <w:rFonts w:cs="Arial"/>
                <w:i/>
              </w:rPr>
              <w:t xml:space="preserve"> data and</w:t>
            </w:r>
            <w:r w:rsidR="00713AEF">
              <w:rPr>
                <w:rFonts w:cs="Arial"/>
                <w:i/>
              </w:rPr>
              <w:t xml:space="preserve"> results that describe the system operating procedures, evaluations of field-scale sampling designs, and interpretations of field study results.  The form of the disseminated results will be determined by stakeholder preferences.  </w:t>
            </w:r>
          </w:p>
          <w:p w14:paraId="667E044D" w14:textId="77777777" w:rsidR="00C555F8" w:rsidRDefault="00C555F8" w:rsidP="001D783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3FEC05B8" w14:textId="16217BB7" w:rsidR="00C555F8" w:rsidRPr="00B134E3" w:rsidRDefault="00C555F8" w:rsidP="00B134E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713AEF">
              <w:rPr>
                <w:rFonts w:cs="Arial"/>
                <w:b/>
                <w:bCs/>
                <w:color w:val="000000"/>
              </w:rPr>
              <w:t>139,500</w:t>
            </w:r>
          </w:p>
        </w:tc>
      </w:tr>
    </w:tbl>
    <w:p w14:paraId="25008FF9" w14:textId="77777777" w:rsidR="00CD7E20" w:rsidRDefault="00CD7E2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B63A5" w:rsidRPr="009D6EC8" w14:paraId="4C24E4EE" w14:textId="77777777" w:rsidTr="002302B5">
        <w:tc>
          <w:tcPr>
            <w:tcW w:w="8284" w:type="dxa"/>
          </w:tcPr>
          <w:p w14:paraId="21A01162" w14:textId="77777777" w:rsidR="00CD7E20" w:rsidRPr="009D6EC8" w:rsidRDefault="00CD7E20" w:rsidP="001D783F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14C7B2D9" w14:textId="77777777" w:rsidR="00CD7E20" w:rsidRPr="009D6EC8" w:rsidRDefault="00CD7E20" w:rsidP="001D783F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B63A5" w:rsidRPr="009D6EC8" w14:paraId="523F563D" w14:textId="77777777" w:rsidTr="002302B5">
        <w:tc>
          <w:tcPr>
            <w:tcW w:w="8284" w:type="dxa"/>
          </w:tcPr>
          <w:p w14:paraId="3E6F5DD8" w14:textId="1750065A" w:rsidR="00CD7E20" w:rsidRPr="009D6EC8" w:rsidRDefault="00CD7E20" w:rsidP="001D783F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6B63A5">
              <w:rPr>
                <w:rFonts w:cs="Arial"/>
                <w:i/>
              </w:rPr>
              <w:t>Site selection and sampling design</w:t>
            </w:r>
            <w:r w:rsidR="00704B3E">
              <w:rPr>
                <w:rFonts w:cs="Arial"/>
                <w:i/>
              </w:rPr>
              <w:t xml:space="preserve"> </w:t>
            </w:r>
            <w:r w:rsidR="006B63A5">
              <w:rPr>
                <w:rFonts w:cs="Arial"/>
                <w:i/>
              </w:rPr>
              <w:t xml:space="preserve">at </w:t>
            </w:r>
            <w:r w:rsidR="006B63A5">
              <w:rPr>
                <w:rFonts w:ascii="Calibri-Italic" w:hAnsi="Calibri-Italic" w:cs="Calibri-Italic"/>
                <w:i/>
                <w:iCs/>
              </w:rPr>
              <w:t>Rock County Rural Water</w:t>
            </w:r>
            <w:r w:rsidR="00EB0B87">
              <w:rPr>
                <w:rFonts w:ascii="Calibri-Italic" w:hAnsi="Calibri-Italic" w:cs="Calibri-Italic"/>
                <w:i/>
                <w:iCs/>
              </w:rPr>
              <w:t xml:space="preserve">, </w:t>
            </w:r>
            <w:r w:rsidR="006B63A5">
              <w:rPr>
                <w:rFonts w:ascii="Calibri-Italic" w:hAnsi="Calibri-Italic" w:cs="Calibri-Italic"/>
                <w:i/>
                <w:iCs/>
              </w:rPr>
              <w:t>Lincoln Pipestone Rural Water</w:t>
            </w:r>
            <w:r w:rsidR="00EB0B87">
              <w:rPr>
                <w:rFonts w:ascii="Calibri-Italic" w:hAnsi="Calibri-Italic" w:cs="Calibri-Italic"/>
                <w:i/>
                <w:iCs/>
              </w:rPr>
              <w:t>, or City of Edgerton</w:t>
            </w:r>
            <w:r w:rsidR="006B63A5">
              <w:rPr>
                <w:rFonts w:ascii="Calibri-Italic" w:hAnsi="Calibri-Italic" w:cs="Calibri-Italic"/>
                <w:i/>
                <w:iCs/>
              </w:rPr>
              <w:t xml:space="preserve"> well fields</w:t>
            </w:r>
          </w:p>
        </w:tc>
        <w:tc>
          <w:tcPr>
            <w:tcW w:w="1786" w:type="dxa"/>
          </w:tcPr>
          <w:p w14:paraId="51700A13" w14:textId="77777777" w:rsidR="00CD7E20" w:rsidRPr="009D6EC8" w:rsidRDefault="00CD7E20" w:rsidP="001D783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June, 2021</w:t>
            </w:r>
          </w:p>
        </w:tc>
      </w:tr>
      <w:tr w:rsidR="006B63A5" w:rsidRPr="009D6EC8" w14:paraId="0C71C333" w14:textId="77777777" w:rsidTr="002302B5">
        <w:tc>
          <w:tcPr>
            <w:tcW w:w="8284" w:type="dxa"/>
          </w:tcPr>
          <w:p w14:paraId="3860A1DE" w14:textId="3D164A60" w:rsidR="00CD7E20" w:rsidRPr="009D6EC8" w:rsidRDefault="00CD7E20" w:rsidP="00713AEF">
            <w:pPr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6B63A5">
              <w:rPr>
                <w:rFonts w:ascii="Calibri-Italic" w:hAnsi="Calibri-Italic" w:cs="Calibri-Italic"/>
                <w:i/>
                <w:iCs/>
              </w:rPr>
              <w:t>Collect field data with direct-push system</w:t>
            </w:r>
            <w:r w:rsidR="00704B3E">
              <w:rPr>
                <w:rFonts w:ascii="Calibri-Italic" w:hAnsi="Calibri-Italic" w:cs="Calibri-Italic"/>
                <w:i/>
                <w:iCs/>
              </w:rPr>
              <w:t xml:space="preserve">.  </w:t>
            </w:r>
            <w:r w:rsidR="006B63A5">
              <w:rPr>
                <w:rFonts w:ascii="Calibri-Italic" w:hAnsi="Calibri-Italic" w:cs="Calibri-Italic"/>
                <w:i/>
                <w:iCs/>
              </w:rPr>
              <w:t xml:space="preserve">Up to </w:t>
            </w:r>
            <w:r w:rsidR="00713AEF">
              <w:rPr>
                <w:rFonts w:ascii="Calibri-Italic" w:hAnsi="Calibri-Italic" w:cs="Calibri-Italic"/>
                <w:i/>
                <w:iCs/>
              </w:rPr>
              <w:t>150</w:t>
            </w:r>
            <w:r w:rsidR="006B63A5">
              <w:rPr>
                <w:rFonts w:ascii="Calibri-Italic" w:hAnsi="Calibri-Italic" w:cs="Calibri-Italic"/>
                <w:i/>
                <w:iCs/>
              </w:rPr>
              <w:t xml:space="preserve"> groundwater sampl</w:t>
            </w:r>
            <w:r w:rsidR="00713AEF">
              <w:rPr>
                <w:rFonts w:ascii="Calibri-Italic" w:hAnsi="Calibri-Italic" w:cs="Calibri-Italic"/>
                <w:i/>
                <w:iCs/>
              </w:rPr>
              <w:t>e points</w:t>
            </w:r>
            <w:r w:rsidR="006B63A5">
              <w:rPr>
                <w:rFonts w:ascii="Calibri-Italic" w:hAnsi="Calibri-Italic" w:cs="Calibri-Italic"/>
                <w:i/>
                <w:iCs/>
              </w:rPr>
              <w:t xml:space="preserve"> will be analyzed for nitrate</w:t>
            </w:r>
            <w:r w:rsidR="00DB4D57">
              <w:rPr>
                <w:rFonts w:ascii="Calibri-Italic" w:hAnsi="Calibri-Italic" w:cs="Calibri-Italic"/>
                <w:i/>
                <w:iCs/>
              </w:rPr>
              <w:t xml:space="preserve"> in the field and a subset sent to lab for confirmation</w:t>
            </w:r>
            <w:r w:rsidR="006B63A5">
              <w:rPr>
                <w:rFonts w:ascii="Calibri-Italic" w:hAnsi="Calibri-Italic" w:cs="Calibri-Italic"/>
                <w:i/>
                <w:iCs/>
              </w:rPr>
              <w:t xml:space="preserve">. </w:t>
            </w:r>
          </w:p>
        </w:tc>
        <w:tc>
          <w:tcPr>
            <w:tcW w:w="1786" w:type="dxa"/>
          </w:tcPr>
          <w:p w14:paraId="6E2E975D" w14:textId="77777777" w:rsidR="00CD7E20" w:rsidRPr="009D6EC8" w:rsidRDefault="002302B5" w:rsidP="001D783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October, 2021</w:t>
            </w:r>
          </w:p>
        </w:tc>
      </w:tr>
      <w:tr w:rsidR="00713AEF" w:rsidRPr="009D6EC8" w14:paraId="18C2B7F9" w14:textId="77777777" w:rsidTr="002302B5">
        <w:tc>
          <w:tcPr>
            <w:tcW w:w="8284" w:type="dxa"/>
          </w:tcPr>
          <w:p w14:paraId="4803329E" w14:textId="27CACA1F" w:rsidR="00713AEF" w:rsidRPr="009D6EC8" w:rsidRDefault="00713AEF" w:rsidP="00713AEF">
            <w:pPr>
              <w:autoSpaceDE w:val="0"/>
              <w:autoSpaceDN w:val="0"/>
              <w:adjustRightInd w:val="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3</w:t>
            </w:r>
            <w:r w:rsidRPr="009D6EC8">
              <w:rPr>
                <w:rFonts w:cs="Arial"/>
                <w:i/>
              </w:rPr>
              <w:t xml:space="preserve">.  </w:t>
            </w:r>
            <w:r w:rsidR="00704B3E">
              <w:rPr>
                <w:rFonts w:cs="Arial"/>
                <w:i/>
              </w:rPr>
              <w:t>A</w:t>
            </w:r>
            <w:r w:rsidR="00704B3E">
              <w:rPr>
                <w:rFonts w:ascii="Calibri-Italic" w:hAnsi="Calibri-Italic" w:cs="Calibri-Italic"/>
                <w:i/>
                <w:iCs/>
              </w:rPr>
              <w:t>nalyze data; present results at local conferences; produce publicly‐available final synthesis report; p</w:t>
            </w:r>
            <w:r>
              <w:rPr>
                <w:rFonts w:ascii="Calibri-Italic" w:hAnsi="Calibri-Italic" w:cs="Calibri-Italic"/>
                <w:i/>
                <w:iCs/>
              </w:rPr>
              <w:t>ublish hydrogeologic and water‐quality data</w:t>
            </w:r>
          </w:p>
        </w:tc>
        <w:tc>
          <w:tcPr>
            <w:tcW w:w="1786" w:type="dxa"/>
          </w:tcPr>
          <w:p w14:paraId="3DB9B788" w14:textId="5BB9563B" w:rsidR="00713AEF" w:rsidRDefault="00713AEF" w:rsidP="00713AE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June, 2022</w:t>
            </w:r>
          </w:p>
        </w:tc>
      </w:tr>
    </w:tbl>
    <w:p w14:paraId="3F032560" w14:textId="77777777" w:rsidR="000B1893" w:rsidRDefault="000B1893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14:paraId="76BDA458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14A8EFC5" w14:textId="017BA008" w:rsidR="006C0459" w:rsidRPr="00DA652B" w:rsidRDefault="0041703E" w:rsidP="006E0EFD">
      <w:pPr>
        <w:rPr>
          <w:rFonts w:cs="Arial"/>
        </w:rPr>
      </w:pPr>
      <w:r>
        <w:rPr>
          <w:rFonts w:cs="Arial"/>
        </w:rPr>
        <w:t xml:space="preserve">Laura DeBeer, Pipestone County Soil and Water; </w:t>
      </w:r>
      <w:r w:rsidR="0029126A" w:rsidRPr="00DA652B">
        <w:rPr>
          <w:rFonts w:cs="Arial"/>
        </w:rPr>
        <w:t>Jared Trost</w:t>
      </w:r>
      <w:r w:rsidR="0029126A">
        <w:rPr>
          <w:rFonts w:cs="Arial"/>
        </w:rPr>
        <w:t xml:space="preserve">, </w:t>
      </w:r>
      <w:r w:rsidR="0029126A" w:rsidRPr="00DA652B">
        <w:rPr>
          <w:rFonts w:cs="Arial"/>
        </w:rPr>
        <w:t>Tim Cowdery</w:t>
      </w:r>
      <w:r w:rsidR="0029126A">
        <w:rPr>
          <w:rFonts w:cs="Arial"/>
        </w:rPr>
        <w:t>, Hydrologists, U.S. Geological Survey</w:t>
      </w:r>
      <w:r w:rsidR="00C555F8">
        <w:rPr>
          <w:rFonts w:cs="Arial"/>
        </w:rPr>
        <w:t xml:space="preserve">; </w:t>
      </w:r>
      <w:r w:rsidR="0029126A" w:rsidRPr="00DA652B">
        <w:rPr>
          <w:rFonts w:cs="Arial"/>
        </w:rPr>
        <w:t>Andrew Berg</w:t>
      </w:r>
      <w:r w:rsidR="0029126A">
        <w:rPr>
          <w:rFonts w:cs="Arial"/>
        </w:rPr>
        <w:t>, James Letsos, John Lund, field technicians, U.S. Geological Survey</w:t>
      </w:r>
      <w:r w:rsidR="00C555F8">
        <w:rPr>
          <w:rFonts w:cs="Arial"/>
        </w:rPr>
        <w:t xml:space="preserve">; </w:t>
      </w:r>
      <w:r w:rsidR="00DA652B" w:rsidRPr="00DA652B">
        <w:rPr>
          <w:rFonts w:cs="Arial"/>
        </w:rPr>
        <w:t>Aaron Meyer, Source water specialist, Minnesota Rural Water</w:t>
      </w:r>
      <w:r w:rsidR="00C555F8">
        <w:rPr>
          <w:rFonts w:cs="Arial"/>
        </w:rPr>
        <w:t xml:space="preserve">; </w:t>
      </w:r>
      <w:r w:rsidR="00DA652B" w:rsidRPr="00DA652B">
        <w:rPr>
          <w:rFonts w:cs="Arial"/>
        </w:rPr>
        <w:t>Doug Bos, Rock County Soil and Water Conservation District</w:t>
      </w:r>
      <w:r w:rsidR="00C555F8">
        <w:rPr>
          <w:rFonts w:cs="Arial"/>
        </w:rPr>
        <w:t xml:space="preserve">; </w:t>
      </w:r>
      <w:r w:rsidR="00DA652B" w:rsidRPr="00DA652B">
        <w:rPr>
          <w:rFonts w:cs="Arial"/>
        </w:rPr>
        <w:t>Ryan Holtz, Director Rock County Rural Water</w:t>
      </w:r>
      <w:r w:rsidR="00C555F8">
        <w:rPr>
          <w:rFonts w:cs="Arial"/>
        </w:rPr>
        <w:t xml:space="preserve">; </w:t>
      </w:r>
      <w:r w:rsidR="0029126A" w:rsidRPr="00DA652B">
        <w:rPr>
          <w:rFonts w:cs="Arial"/>
        </w:rPr>
        <w:t>Jason Overby, General Manager Lincoln-Pipestone Rural Water System</w:t>
      </w:r>
      <w:r w:rsidR="00C555F8">
        <w:rPr>
          <w:rFonts w:cs="Arial"/>
        </w:rPr>
        <w:t xml:space="preserve">; </w:t>
      </w:r>
      <w:r>
        <w:rPr>
          <w:rFonts w:cs="Arial"/>
        </w:rPr>
        <w:t xml:space="preserve">Doug Brands, City of Edgerton; </w:t>
      </w:r>
      <w:r w:rsidR="00DA652B" w:rsidRPr="00DA652B">
        <w:rPr>
          <w:rFonts w:cs="Arial"/>
        </w:rPr>
        <w:t>Steve Robertson, Minnesota Department of Health</w:t>
      </w:r>
      <w:r w:rsidR="00C555F8">
        <w:rPr>
          <w:rFonts w:cs="Arial"/>
        </w:rPr>
        <w:t>;</w:t>
      </w:r>
      <w:r>
        <w:rPr>
          <w:rFonts w:cs="Arial"/>
        </w:rPr>
        <w:t xml:space="preserve"> </w:t>
      </w:r>
      <w:r w:rsidR="00DA652B" w:rsidRPr="00DA652B">
        <w:rPr>
          <w:rFonts w:cs="Arial"/>
        </w:rPr>
        <w:t xml:space="preserve">William </w:t>
      </w:r>
      <w:proofErr w:type="spellStart"/>
      <w:r w:rsidR="00DA652B" w:rsidRPr="00DA652B">
        <w:rPr>
          <w:rFonts w:cs="Arial"/>
        </w:rPr>
        <w:t>VanRyswyk</w:t>
      </w:r>
      <w:proofErr w:type="spellEnd"/>
      <w:r w:rsidR="00DA652B" w:rsidRPr="00DA652B">
        <w:rPr>
          <w:rFonts w:cs="Arial"/>
        </w:rPr>
        <w:t>, Minnesota Department of Agriculture</w:t>
      </w:r>
      <w:r w:rsidR="00C555F8">
        <w:rPr>
          <w:rFonts w:cs="Arial"/>
        </w:rPr>
        <w:t xml:space="preserve">; </w:t>
      </w:r>
      <w:r w:rsidR="006C0459">
        <w:rPr>
          <w:rFonts w:cs="Arial"/>
        </w:rPr>
        <w:t>Jacob Jungers, University of Minnesota</w:t>
      </w:r>
    </w:p>
    <w:p w14:paraId="4C8B4824" w14:textId="77777777" w:rsidR="00DA652B" w:rsidRPr="009D6EC8" w:rsidRDefault="00DA652B" w:rsidP="006E0EFD">
      <w:pPr>
        <w:rPr>
          <w:rFonts w:cs="Arial"/>
          <w:b/>
        </w:rPr>
      </w:pPr>
    </w:p>
    <w:p w14:paraId="4EACF2D5" w14:textId="50C3B3C3" w:rsidR="00DA652B" w:rsidRPr="00704B3E" w:rsidRDefault="005431D4" w:rsidP="00704B3E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5BECABC5" w14:textId="0819E30C" w:rsidR="00DA652B" w:rsidRDefault="0016738D" w:rsidP="000B1893">
      <w:pPr>
        <w:autoSpaceDE w:val="0"/>
        <w:autoSpaceDN w:val="0"/>
        <w:adjustRightInd w:val="0"/>
        <w:rPr>
          <w:rFonts w:cs="Arial"/>
          <w:b/>
        </w:rPr>
      </w:pPr>
      <w:r>
        <w:rPr>
          <w:rFonts w:cs="Calibri"/>
        </w:rPr>
        <w:t>This</w:t>
      </w:r>
      <w:r w:rsidR="00FD05C6">
        <w:rPr>
          <w:rFonts w:cs="Calibri"/>
        </w:rPr>
        <w:t xml:space="preserve"> proposed project</w:t>
      </w:r>
      <w:r>
        <w:rPr>
          <w:rFonts w:cs="Calibri"/>
        </w:rPr>
        <w:t xml:space="preserve"> </w:t>
      </w:r>
      <w:r w:rsidR="00FD05C6">
        <w:rPr>
          <w:rFonts w:cs="Calibri"/>
        </w:rPr>
        <w:t>will produce a sampling approach intended to be used statewide</w:t>
      </w:r>
      <w:r w:rsidR="00FD05C6" w:rsidRPr="00FD05C6">
        <w:rPr>
          <w:rFonts w:cs="Calibri"/>
        </w:rPr>
        <w:t xml:space="preserve"> </w:t>
      </w:r>
      <w:r w:rsidR="00FD05C6">
        <w:rPr>
          <w:rFonts w:cs="Calibri"/>
        </w:rPr>
        <w:t xml:space="preserve">for evaluating land management investments made to achieve groundwater quality outcomes in quality in shallow, vulnerable aquifers. </w:t>
      </w:r>
      <w:r w:rsidR="00352621">
        <w:rPr>
          <w:rFonts w:cs="Calibri"/>
        </w:rPr>
        <w:t>After completion of this project, t</w:t>
      </w:r>
      <w:r w:rsidR="00FD05C6">
        <w:rPr>
          <w:rFonts w:cs="Calibri"/>
        </w:rPr>
        <w:t>he method will be available to stakeholders faced with source water quality management</w:t>
      </w:r>
      <w:r w:rsidR="00352621">
        <w:rPr>
          <w:rFonts w:cs="Calibri"/>
        </w:rPr>
        <w:t xml:space="preserve">.  </w:t>
      </w:r>
      <w:r w:rsidR="002B6B32">
        <w:rPr>
          <w:rFonts w:cs="Calibri"/>
        </w:rPr>
        <w:t xml:space="preserve">The Minnesota Department of Agriculture may use this method to document BMP effectiveness. </w:t>
      </w:r>
      <w:r>
        <w:rPr>
          <w:rFonts w:cs="Calibri"/>
        </w:rPr>
        <w:t>Water suppliers could</w:t>
      </w:r>
      <w:r w:rsidR="00352621">
        <w:rPr>
          <w:rFonts w:cs="Calibri"/>
        </w:rPr>
        <w:t xml:space="preserve"> acquire funding through the </w:t>
      </w:r>
      <w:r>
        <w:rPr>
          <w:rFonts w:cs="Calibri"/>
        </w:rPr>
        <w:t xml:space="preserve">MN Department of Health’s Source Water Protection Competitive Grant </w:t>
      </w:r>
      <w:r w:rsidR="00352621">
        <w:rPr>
          <w:rFonts w:cs="Calibri"/>
        </w:rPr>
        <w:t>program to support direct-push sampling of their drinking water</w:t>
      </w:r>
      <w:r w:rsidR="002B6B32">
        <w:rPr>
          <w:rFonts w:cs="Calibri"/>
        </w:rPr>
        <w:t xml:space="preserve"> supply areas.  </w:t>
      </w:r>
    </w:p>
    <w:p w14:paraId="21868EF7" w14:textId="77777777"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422770DF" w14:textId="77777777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7E21FE5D" w14:textId="77777777"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14:paraId="79283071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15D7463B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1A8F8CCD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p w14:paraId="10194CAC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G</w:t>
      </w:r>
      <w:r w:rsidR="00F9232B">
        <w:rPr>
          <w:rFonts w:cs="Arial"/>
          <w:b/>
          <w:iCs/>
          <w:color w:val="000000"/>
        </w:rPr>
        <w:t xml:space="preserve">. Letter or </w:t>
      </w:r>
      <w:r w:rsidR="003578A0">
        <w:rPr>
          <w:rFonts w:cs="Arial"/>
          <w:b/>
          <w:iCs/>
          <w:color w:val="000000"/>
        </w:rPr>
        <w:t>Resolution</w:t>
      </w:r>
    </w:p>
    <w:p w14:paraId="67F2381E" w14:textId="77777777"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D1570" w14:textId="77777777" w:rsidR="00F0708A" w:rsidRDefault="00F0708A" w:rsidP="00533120">
      <w:r>
        <w:separator/>
      </w:r>
    </w:p>
  </w:endnote>
  <w:endnote w:type="continuationSeparator" w:id="0">
    <w:p w14:paraId="72002288" w14:textId="77777777" w:rsidR="00F0708A" w:rsidRDefault="00F0708A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A77D9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0D08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6CFF">
      <w:rPr>
        <w:noProof/>
      </w:rPr>
      <w:t>1</w:t>
    </w:r>
    <w:r>
      <w:fldChar w:fldCharType="end"/>
    </w:r>
  </w:p>
  <w:p w14:paraId="6EFF9ACF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4B74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9166074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3CDF0" w14:textId="77777777" w:rsidR="00F0708A" w:rsidRDefault="00F0708A" w:rsidP="00533120">
      <w:r>
        <w:separator/>
      </w:r>
    </w:p>
  </w:footnote>
  <w:footnote w:type="continuationSeparator" w:id="0">
    <w:p w14:paraId="2B22736E" w14:textId="77777777" w:rsidR="00F0708A" w:rsidRDefault="00F0708A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AB246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10933423" w14:textId="77777777" w:rsidTr="00E47145">
      <w:tc>
        <w:tcPr>
          <w:tcW w:w="1278" w:type="dxa"/>
        </w:tcPr>
        <w:p w14:paraId="2886FAD2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50BD2B9" wp14:editId="419FE1FE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D5110DF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0A0118E7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6724F9E2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7A43DECE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4CE246C3" w14:textId="77777777" w:rsidTr="00C660F0">
      <w:tc>
        <w:tcPr>
          <w:tcW w:w="1098" w:type="dxa"/>
        </w:tcPr>
        <w:p w14:paraId="428ACF90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DAD9E7F" wp14:editId="78A64414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6249AC04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F58F417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298D9A4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1FC18D0B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03279"/>
    <w:rsid w:val="00020FA1"/>
    <w:rsid w:val="00022E79"/>
    <w:rsid w:val="00061EF5"/>
    <w:rsid w:val="00062497"/>
    <w:rsid w:val="00065366"/>
    <w:rsid w:val="00073C96"/>
    <w:rsid w:val="000B1893"/>
    <w:rsid w:val="000B34BA"/>
    <w:rsid w:val="000C3EF3"/>
    <w:rsid w:val="000D7AE8"/>
    <w:rsid w:val="000D7F31"/>
    <w:rsid w:val="00100A34"/>
    <w:rsid w:val="00107495"/>
    <w:rsid w:val="001225BC"/>
    <w:rsid w:val="00165716"/>
    <w:rsid w:val="0016738D"/>
    <w:rsid w:val="0018005E"/>
    <w:rsid w:val="00186FCC"/>
    <w:rsid w:val="001B0368"/>
    <w:rsid w:val="001E42AC"/>
    <w:rsid w:val="001F5CE4"/>
    <w:rsid w:val="002159DD"/>
    <w:rsid w:val="00217C2A"/>
    <w:rsid w:val="002302B5"/>
    <w:rsid w:val="00265F5A"/>
    <w:rsid w:val="002830B7"/>
    <w:rsid w:val="00290E4E"/>
    <w:rsid w:val="0029126A"/>
    <w:rsid w:val="0029726A"/>
    <w:rsid w:val="002B469A"/>
    <w:rsid w:val="002B6B32"/>
    <w:rsid w:val="003205A7"/>
    <w:rsid w:val="003239FE"/>
    <w:rsid w:val="00347E7A"/>
    <w:rsid w:val="00351EA6"/>
    <w:rsid w:val="00352621"/>
    <w:rsid w:val="00354888"/>
    <w:rsid w:val="003578A0"/>
    <w:rsid w:val="0037310D"/>
    <w:rsid w:val="0039481E"/>
    <w:rsid w:val="003F32CA"/>
    <w:rsid w:val="00404B9C"/>
    <w:rsid w:val="0041703E"/>
    <w:rsid w:val="004357AE"/>
    <w:rsid w:val="004530F7"/>
    <w:rsid w:val="00454495"/>
    <w:rsid w:val="00481F05"/>
    <w:rsid w:val="00487D08"/>
    <w:rsid w:val="0049103C"/>
    <w:rsid w:val="004A43B9"/>
    <w:rsid w:val="004A4BE4"/>
    <w:rsid w:val="004E6113"/>
    <w:rsid w:val="004F1E4A"/>
    <w:rsid w:val="00501428"/>
    <w:rsid w:val="00533120"/>
    <w:rsid w:val="005431D4"/>
    <w:rsid w:val="00550B29"/>
    <w:rsid w:val="005648A9"/>
    <w:rsid w:val="00582AF4"/>
    <w:rsid w:val="005A1D00"/>
    <w:rsid w:val="005A4FB1"/>
    <w:rsid w:val="005F0DBA"/>
    <w:rsid w:val="005F1006"/>
    <w:rsid w:val="005F7237"/>
    <w:rsid w:val="00602068"/>
    <w:rsid w:val="00614DF2"/>
    <w:rsid w:val="00640A9A"/>
    <w:rsid w:val="006562F0"/>
    <w:rsid w:val="00666671"/>
    <w:rsid w:val="00686B53"/>
    <w:rsid w:val="006B63A5"/>
    <w:rsid w:val="006C0459"/>
    <w:rsid w:val="006E0EFD"/>
    <w:rsid w:val="006F7F24"/>
    <w:rsid w:val="00704B3E"/>
    <w:rsid w:val="00713AEF"/>
    <w:rsid w:val="00721661"/>
    <w:rsid w:val="00731A65"/>
    <w:rsid w:val="007936A9"/>
    <w:rsid w:val="007B284F"/>
    <w:rsid w:val="007B3535"/>
    <w:rsid w:val="00806460"/>
    <w:rsid w:val="008076FB"/>
    <w:rsid w:val="0086575D"/>
    <w:rsid w:val="008949EE"/>
    <w:rsid w:val="008A088E"/>
    <w:rsid w:val="008A4498"/>
    <w:rsid w:val="008A5FD9"/>
    <w:rsid w:val="008D2242"/>
    <w:rsid w:val="00910DB8"/>
    <w:rsid w:val="00912C65"/>
    <w:rsid w:val="00924AC2"/>
    <w:rsid w:val="00924ED9"/>
    <w:rsid w:val="009541C4"/>
    <w:rsid w:val="00956657"/>
    <w:rsid w:val="00967A1C"/>
    <w:rsid w:val="009A49DE"/>
    <w:rsid w:val="009B6749"/>
    <w:rsid w:val="009C4875"/>
    <w:rsid w:val="009D0E57"/>
    <w:rsid w:val="009D14B4"/>
    <w:rsid w:val="009D50C3"/>
    <w:rsid w:val="009D6EC8"/>
    <w:rsid w:val="00A03E0A"/>
    <w:rsid w:val="00A13F26"/>
    <w:rsid w:val="00A42E60"/>
    <w:rsid w:val="00A45A41"/>
    <w:rsid w:val="00A654ED"/>
    <w:rsid w:val="00A7257F"/>
    <w:rsid w:val="00A73B75"/>
    <w:rsid w:val="00A935FF"/>
    <w:rsid w:val="00AA735D"/>
    <w:rsid w:val="00AB6CFF"/>
    <w:rsid w:val="00AC2C07"/>
    <w:rsid w:val="00AC2CDE"/>
    <w:rsid w:val="00AD3337"/>
    <w:rsid w:val="00B134E3"/>
    <w:rsid w:val="00B14C33"/>
    <w:rsid w:val="00B728BF"/>
    <w:rsid w:val="00B8369A"/>
    <w:rsid w:val="00B86A22"/>
    <w:rsid w:val="00B9648F"/>
    <w:rsid w:val="00BA3BBB"/>
    <w:rsid w:val="00BA4DFD"/>
    <w:rsid w:val="00BC28A6"/>
    <w:rsid w:val="00C02DAD"/>
    <w:rsid w:val="00C047FF"/>
    <w:rsid w:val="00C46C3A"/>
    <w:rsid w:val="00C47AB5"/>
    <w:rsid w:val="00C555F8"/>
    <w:rsid w:val="00C660F0"/>
    <w:rsid w:val="00C72BD9"/>
    <w:rsid w:val="00C82CD3"/>
    <w:rsid w:val="00C85E92"/>
    <w:rsid w:val="00C952E4"/>
    <w:rsid w:val="00CB652D"/>
    <w:rsid w:val="00CD7E20"/>
    <w:rsid w:val="00CE20AC"/>
    <w:rsid w:val="00D02E23"/>
    <w:rsid w:val="00D121DD"/>
    <w:rsid w:val="00D25619"/>
    <w:rsid w:val="00D32CFB"/>
    <w:rsid w:val="00D66A3D"/>
    <w:rsid w:val="00DA652B"/>
    <w:rsid w:val="00DB12FC"/>
    <w:rsid w:val="00DB4D57"/>
    <w:rsid w:val="00E3664A"/>
    <w:rsid w:val="00E47145"/>
    <w:rsid w:val="00E5279E"/>
    <w:rsid w:val="00E619C4"/>
    <w:rsid w:val="00E76D57"/>
    <w:rsid w:val="00EB0B87"/>
    <w:rsid w:val="00EB5831"/>
    <w:rsid w:val="00EC4843"/>
    <w:rsid w:val="00F01B58"/>
    <w:rsid w:val="00F0708A"/>
    <w:rsid w:val="00F42507"/>
    <w:rsid w:val="00F70DE4"/>
    <w:rsid w:val="00F9232B"/>
    <w:rsid w:val="00F92864"/>
    <w:rsid w:val="00F96203"/>
    <w:rsid w:val="00F97C94"/>
    <w:rsid w:val="00FD05C6"/>
    <w:rsid w:val="00FD27D7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BBC64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6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3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3A5"/>
    <w:rPr>
      <w:b/>
      <w:bCs/>
    </w:rPr>
  </w:style>
  <w:style w:type="paragraph" w:customStyle="1" w:styleId="Default">
    <w:name w:val="Default"/>
    <w:rsid w:val="00D66A3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Trost, Jared J</cp:lastModifiedBy>
  <cp:revision>10</cp:revision>
  <cp:lastPrinted>2018-11-29T16:36:00Z</cp:lastPrinted>
  <dcterms:created xsi:type="dcterms:W3CDTF">2019-03-15T18:27:00Z</dcterms:created>
  <dcterms:modified xsi:type="dcterms:W3CDTF">2019-04-15T15:26:00Z</dcterms:modified>
</cp:coreProperties>
</file>