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85643" w14:textId="77777777" w:rsidR="000062FD" w:rsidRDefault="000062FD">
      <w:pPr>
        <w:jc w:val="center"/>
      </w:pPr>
    </w:p>
    <w:p w14:paraId="5961EF60" w14:textId="77777777" w:rsidR="000062FD" w:rsidRDefault="00E23985">
      <w:pPr>
        <w:rPr>
          <w:b/>
          <w:i/>
        </w:rPr>
      </w:pPr>
      <w:bookmarkStart w:id="0" w:name="_gjdgxs" w:colFirst="0" w:colLast="0"/>
      <w:bookmarkEnd w:id="0"/>
      <w:r>
        <w:rPr>
          <w:b/>
        </w:rPr>
        <w:t xml:space="preserve">PROJECT TITLE: Banking Groundwater </w:t>
      </w:r>
    </w:p>
    <w:p w14:paraId="1D292811" w14:textId="77777777" w:rsidR="000062FD" w:rsidRDefault="000062FD"/>
    <w:p w14:paraId="4EF2E71F" w14:textId="77777777" w:rsidR="000062FD" w:rsidRDefault="00E23985">
      <w:r>
        <w:rPr>
          <w:b/>
        </w:rPr>
        <w:t xml:space="preserve">I. PROJECT STATEMENT </w:t>
      </w:r>
    </w:p>
    <w:p w14:paraId="57996D06" w14:textId="19835FE2" w:rsidR="0055388B" w:rsidRDefault="0055388B" w:rsidP="0055388B">
      <w:r>
        <w:t>An interdisplinary team led by the Water Resource</w:t>
      </w:r>
      <w:bookmarkStart w:id="1" w:name="_GoBack"/>
      <w:bookmarkEnd w:id="1"/>
      <w:r>
        <w:t>s Center (WRC) will evaluate the engineering, hydrogeologic, economic and policy benefits of and barriers to aquifer recharge. The team will produce recommenda</w:t>
      </w:r>
      <w:r w:rsidR="007D2A51">
        <w:t>tions for recharge and how the s</w:t>
      </w:r>
      <w:r>
        <w:t xml:space="preserve">tate might proceed if recharge is needed for future water sustainability.  </w:t>
      </w:r>
      <w:r w:rsidR="00900710">
        <w:t>Stakeholders will be engaged throughout the study for contributions and r</w:t>
      </w:r>
      <w:r>
        <w:t xml:space="preserve">ecommendations and results will </w:t>
      </w:r>
      <w:r w:rsidR="00900710">
        <w:t>be presented at the conclusion of the project</w:t>
      </w:r>
      <w:r>
        <w:t xml:space="preserve">. </w:t>
      </w:r>
    </w:p>
    <w:p w14:paraId="33F85413" w14:textId="77777777" w:rsidR="0055388B" w:rsidRDefault="0055388B" w:rsidP="0055388B"/>
    <w:p w14:paraId="58BE2F06" w14:textId="6458ABD6" w:rsidR="00900710" w:rsidRDefault="00E23985" w:rsidP="0055388B">
      <w:r>
        <w:t xml:space="preserve">For parts of </w:t>
      </w:r>
      <w:r w:rsidR="007D2A51">
        <w:t>Minnesota</w:t>
      </w:r>
      <w:r>
        <w:t xml:space="preserve">, groundwater recharge may be necessary to meet the competing needs of communities and agriculture that are expected to be exacerbated by changes in recharge that result from drainage and climate.  This increases the uncertainty for a community. Options to increase water supply include conservation and reuse of water, but also recharging groundwater. </w:t>
      </w:r>
      <w:r w:rsidR="00900710">
        <w:t xml:space="preserve"> </w:t>
      </w:r>
    </w:p>
    <w:p w14:paraId="131ED605" w14:textId="77777777" w:rsidR="00900710" w:rsidRDefault="00900710" w:rsidP="0055388B"/>
    <w:p w14:paraId="21053351" w14:textId="77777777" w:rsidR="0055388B" w:rsidRDefault="00E23985" w:rsidP="0055388B">
      <w:r>
        <w:t>Passive aquifer recharge involves treating and directing surface water to unconfined aquifers. A more active approach is aquifer storage and recovery (ASR) through injection and recovery wells. Both methods are used around the world and have application to Minnesota.</w:t>
      </w:r>
      <w:r w:rsidR="004F0046">
        <w:t xml:space="preserve"> </w:t>
      </w:r>
    </w:p>
    <w:p w14:paraId="5F8E786D" w14:textId="77777777" w:rsidR="000062FD" w:rsidRDefault="000062FD">
      <w:pPr>
        <w:rPr>
          <w:b/>
        </w:rPr>
      </w:pPr>
    </w:p>
    <w:p w14:paraId="77AECACE" w14:textId="77777777" w:rsidR="000062FD" w:rsidRDefault="00E23985">
      <w:r>
        <w:rPr>
          <w:b/>
        </w:rPr>
        <w:t>II. PROJECT ACTIVITIES AND OUTCOMES</w:t>
      </w:r>
    </w:p>
    <w:p w14:paraId="07A73F8B" w14:textId="77777777" w:rsidR="000062FD" w:rsidRDefault="00E23985">
      <w:pPr>
        <w:rPr>
          <w:b/>
        </w:rPr>
      </w:pPr>
      <w:r>
        <w:rPr>
          <w:b/>
        </w:rPr>
        <w:t>Activity 1: Identify areas where groundwater will be used more quickly than it is replenished based on compilation of DNR permit and water level data, climate projections, demographic data, and recharge data.</w:t>
      </w:r>
    </w:p>
    <w:p w14:paraId="363D70F8" w14:textId="77777777" w:rsidR="000062FD" w:rsidRDefault="00E23985" w:rsidP="006B55CD">
      <w:pPr>
        <w:pStyle w:val="ListParagraph"/>
        <w:numPr>
          <w:ilvl w:val="0"/>
          <w:numId w:val="5"/>
        </w:numPr>
        <w:ind w:left="360" w:hanging="270"/>
      </w:pPr>
      <w:r>
        <w:t xml:space="preserve">Assemble background materials to project changes in groundwater dependence and need by assessing: a) how water is currently being used; </w:t>
      </w:r>
      <w:r w:rsidR="004D404A">
        <w:t xml:space="preserve">and </w:t>
      </w:r>
      <w:r>
        <w:t>b)</w:t>
      </w:r>
      <w:r w:rsidR="004F0046">
        <w:t xml:space="preserve"> </w:t>
      </w:r>
      <w:r>
        <w:t xml:space="preserve">how this use might change with anticipated demographic shifts. </w:t>
      </w:r>
    </w:p>
    <w:p w14:paraId="6E2399C8" w14:textId="77777777" w:rsidR="000062FD" w:rsidRDefault="00E23985" w:rsidP="006B55CD">
      <w:pPr>
        <w:pStyle w:val="ListParagraph"/>
        <w:numPr>
          <w:ilvl w:val="0"/>
          <w:numId w:val="5"/>
        </w:numPr>
        <w:ind w:left="360" w:hanging="270"/>
      </w:pPr>
      <w:r>
        <w:t xml:space="preserve">Put bounds on the magnitudes of projected groundwater availability from changes to: a) the seasonality and intensity of precipitation; b) evapotranspiration; </w:t>
      </w:r>
      <w:r w:rsidR="004D404A">
        <w:t xml:space="preserve">and </w:t>
      </w:r>
      <w:r>
        <w:t xml:space="preserve">c) hydrology. </w:t>
      </w:r>
    </w:p>
    <w:p w14:paraId="66CF76A1" w14:textId="77777777" w:rsidR="00B32705" w:rsidRDefault="00B32705">
      <w:pPr>
        <w:rPr>
          <w:b/>
        </w:rPr>
      </w:pPr>
    </w:p>
    <w:p w14:paraId="4006EAC3" w14:textId="77777777" w:rsidR="000062FD" w:rsidRDefault="00E23985">
      <w:pPr>
        <w:rPr>
          <w:b/>
        </w:rPr>
      </w:pPr>
      <w:r>
        <w:rPr>
          <w:b/>
        </w:rPr>
        <w:t>ENRTF BUDGET: $25,000</w:t>
      </w:r>
    </w:p>
    <w:tbl>
      <w:tblPr>
        <w:tblStyle w:val="a"/>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0062FD" w14:paraId="57E2271F" w14:textId="77777777">
        <w:tc>
          <w:tcPr>
            <w:tcW w:w="8478" w:type="dxa"/>
          </w:tcPr>
          <w:p w14:paraId="6469005F" w14:textId="77777777" w:rsidR="000062FD" w:rsidRDefault="00E23985">
            <w:pPr>
              <w:rPr>
                <w:b/>
              </w:rPr>
            </w:pPr>
            <w:r>
              <w:rPr>
                <w:b/>
              </w:rPr>
              <w:t>Outcome</w:t>
            </w:r>
            <w:r w:rsidR="004F0046">
              <w:rPr>
                <w:b/>
              </w:rPr>
              <w:t>s</w:t>
            </w:r>
          </w:p>
        </w:tc>
        <w:tc>
          <w:tcPr>
            <w:tcW w:w="1800" w:type="dxa"/>
          </w:tcPr>
          <w:p w14:paraId="2B402BEF" w14:textId="77777777" w:rsidR="000062FD" w:rsidRDefault="00E23985">
            <w:pPr>
              <w:jc w:val="center"/>
              <w:rPr>
                <w:b/>
              </w:rPr>
            </w:pPr>
            <w:r>
              <w:rPr>
                <w:b/>
              </w:rPr>
              <w:t>Completion Date</w:t>
            </w:r>
          </w:p>
        </w:tc>
      </w:tr>
      <w:tr w:rsidR="000062FD" w14:paraId="15D70E73" w14:textId="77777777">
        <w:tc>
          <w:tcPr>
            <w:tcW w:w="8478" w:type="dxa"/>
          </w:tcPr>
          <w:p w14:paraId="1A03AC0D" w14:textId="77777777" w:rsidR="000062FD" w:rsidRDefault="00E23985">
            <w:r>
              <w:t xml:space="preserve">1. Collect, compile and interpret demographic and water level data; present and report </w:t>
            </w:r>
          </w:p>
        </w:tc>
        <w:tc>
          <w:tcPr>
            <w:tcW w:w="1800" w:type="dxa"/>
          </w:tcPr>
          <w:p w14:paraId="19EC35C2" w14:textId="77777777" w:rsidR="000062FD" w:rsidRDefault="00E23985">
            <w:pPr>
              <w:rPr>
                <w:i/>
              </w:rPr>
            </w:pPr>
            <w:r>
              <w:rPr>
                <w:i/>
              </w:rPr>
              <w:t>9/30/2021</w:t>
            </w:r>
          </w:p>
        </w:tc>
      </w:tr>
      <w:tr w:rsidR="000062FD" w14:paraId="35BA52B8" w14:textId="77777777">
        <w:tc>
          <w:tcPr>
            <w:tcW w:w="8478" w:type="dxa"/>
          </w:tcPr>
          <w:p w14:paraId="76520360" w14:textId="77777777" w:rsidR="000062FD" w:rsidRDefault="00E23985">
            <w:r>
              <w:t>2. Narrow uncertainties: water balance , groundwater recharge and climate; report</w:t>
            </w:r>
          </w:p>
        </w:tc>
        <w:tc>
          <w:tcPr>
            <w:tcW w:w="1800" w:type="dxa"/>
          </w:tcPr>
          <w:p w14:paraId="43588385" w14:textId="77777777" w:rsidR="000062FD" w:rsidRDefault="00E23985">
            <w:pPr>
              <w:rPr>
                <w:i/>
              </w:rPr>
            </w:pPr>
            <w:r>
              <w:rPr>
                <w:i/>
              </w:rPr>
              <w:t>12/30/2021</w:t>
            </w:r>
          </w:p>
        </w:tc>
      </w:tr>
    </w:tbl>
    <w:p w14:paraId="480428AC" w14:textId="77777777" w:rsidR="000062FD" w:rsidRDefault="000062FD">
      <w:pPr>
        <w:rPr>
          <w:b/>
        </w:rPr>
      </w:pPr>
    </w:p>
    <w:p w14:paraId="6299216E" w14:textId="77777777" w:rsidR="000062FD" w:rsidRPr="00E236EE" w:rsidRDefault="00E23985">
      <w:pPr>
        <w:rPr>
          <w:b/>
        </w:rPr>
      </w:pPr>
      <w:r>
        <w:rPr>
          <w:b/>
        </w:rPr>
        <w:t xml:space="preserve">Activity 2: </w:t>
      </w:r>
      <w:r w:rsidR="00E236EE" w:rsidRPr="00E236EE">
        <w:rPr>
          <w:b/>
        </w:rPr>
        <w:t>Characterize regionally shared aquifers for recharge and identify additional information needs</w:t>
      </w:r>
      <w:r>
        <w:rPr>
          <w:b/>
        </w:rPr>
        <w:t>.</w:t>
      </w:r>
      <w:r>
        <w:t xml:space="preserve"> </w:t>
      </w:r>
      <w:r>
        <w:rPr>
          <w:i/>
        </w:rPr>
        <w:t xml:space="preserve"> </w:t>
      </w:r>
    </w:p>
    <w:p w14:paraId="27A455B9" w14:textId="77777777" w:rsidR="004B21F8" w:rsidRDefault="004B21F8" w:rsidP="006B55CD">
      <w:pPr>
        <w:pStyle w:val="ListParagraph"/>
        <w:numPr>
          <w:ilvl w:val="0"/>
          <w:numId w:val="3"/>
        </w:numPr>
        <w:ind w:left="360" w:hanging="270"/>
        <w:jc w:val="both"/>
      </w:pPr>
      <w:r>
        <w:t xml:space="preserve">Identify at least 4 regionally shared aquifers that are projected to have decreasing water levels for evaluation. </w:t>
      </w:r>
    </w:p>
    <w:p w14:paraId="66796F19" w14:textId="77777777" w:rsidR="004B21F8" w:rsidRDefault="004B21F8" w:rsidP="006B55CD">
      <w:pPr>
        <w:pStyle w:val="ListParagraph"/>
        <w:numPr>
          <w:ilvl w:val="0"/>
          <w:numId w:val="3"/>
        </w:numPr>
        <w:ind w:left="360" w:hanging="270"/>
        <w:jc w:val="both"/>
      </w:pPr>
      <w:r>
        <w:t>Compile existing available information including data from the county geologic atlas and develop list of characteristics</w:t>
      </w:r>
      <w:r w:rsidR="00E236EE">
        <w:t xml:space="preserve"> for those aquifers</w:t>
      </w:r>
      <w:r>
        <w:t xml:space="preserve">; develop a process that describes how to obtain and compile existing data. </w:t>
      </w:r>
    </w:p>
    <w:p w14:paraId="5BA80A91" w14:textId="77777777" w:rsidR="004B21F8" w:rsidRDefault="004B21F8" w:rsidP="006B55CD">
      <w:pPr>
        <w:pStyle w:val="ListParagraph"/>
        <w:numPr>
          <w:ilvl w:val="0"/>
          <w:numId w:val="3"/>
        </w:numPr>
        <w:ind w:left="360" w:hanging="270"/>
        <w:jc w:val="both"/>
      </w:pPr>
      <w:r>
        <w:t xml:space="preserve">Develop a methodology for estimating injection capacity of Aquifer Storage and Recovery (ASR) wells; </w:t>
      </w:r>
    </w:p>
    <w:p w14:paraId="58AA3983" w14:textId="77777777" w:rsidR="00E236EE" w:rsidRPr="006B55CD" w:rsidRDefault="004B21F8" w:rsidP="006B55CD">
      <w:pPr>
        <w:pStyle w:val="ListParagraph"/>
        <w:numPr>
          <w:ilvl w:val="0"/>
          <w:numId w:val="3"/>
        </w:numPr>
        <w:ind w:left="360" w:hanging="270"/>
        <w:jc w:val="both"/>
        <w:rPr>
          <w:rFonts w:ascii="Times New Roman" w:eastAsia="Times New Roman" w:hAnsi="Times New Roman" w:cs="Times New Roman"/>
        </w:rPr>
      </w:pPr>
      <w:r>
        <w:t xml:space="preserve">Apply the developed methodology to estimate injection capacity of wells at the selected aquifers. </w:t>
      </w:r>
      <w:r w:rsidR="00E23985" w:rsidRPr="006B55CD">
        <w:rPr>
          <w:rFonts w:ascii="Times New Roman" w:eastAsia="Times New Roman" w:hAnsi="Times New Roman" w:cs="Times New Roman"/>
        </w:rPr>
        <w:t xml:space="preserve"> </w:t>
      </w:r>
    </w:p>
    <w:p w14:paraId="156D3274" w14:textId="77777777" w:rsidR="00B32705" w:rsidRDefault="00B32705" w:rsidP="00E236EE">
      <w:pPr>
        <w:jc w:val="both"/>
        <w:rPr>
          <w:b/>
        </w:rPr>
      </w:pPr>
    </w:p>
    <w:p w14:paraId="19355A25" w14:textId="77777777" w:rsidR="000062FD" w:rsidRDefault="00E23985" w:rsidP="00E236EE">
      <w:pPr>
        <w:jc w:val="both"/>
        <w:rPr>
          <w:b/>
        </w:rPr>
      </w:pPr>
      <w:r>
        <w:rPr>
          <w:b/>
        </w:rPr>
        <w:t>ENRTF BUDGET: $125,000</w:t>
      </w:r>
    </w:p>
    <w:tbl>
      <w:tblPr>
        <w:tblStyle w:val="a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0062FD" w14:paraId="54ABD177" w14:textId="77777777">
        <w:tc>
          <w:tcPr>
            <w:tcW w:w="8478" w:type="dxa"/>
          </w:tcPr>
          <w:p w14:paraId="2ECFF44A" w14:textId="77777777" w:rsidR="000062FD" w:rsidRDefault="00E23985">
            <w:pPr>
              <w:rPr>
                <w:b/>
              </w:rPr>
            </w:pPr>
            <w:r>
              <w:rPr>
                <w:b/>
              </w:rPr>
              <w:t>Outcome</w:t>
            </w:r>
            <w:r w:rsidR="004F0046">
              <w:rPr>
                <w:b/>
              </w:rPr>
              <w:t>s</w:t>
            </w:r>
          </w:p>
        </w:tc>
        <w:tc>
          <w:tcPr>
            <w:tcW w:w="1800" w:type="dxa"/>
          </w:tcPr>
          <w:p w14:paraId="7ADB9338" w14:textId="77777777" w:rsidR="000062FD" w:rsidRDefault="00E23985">
            <w:pPr>
              <w:jc w:val="center"/>
              <w:rPr>
                <w:b/>
              </w:rPr>
            </w:pPr>
            <w:r>
              <w:rPr>
                <w:b/>
              </w:rPr>
              <w:t>Completion Date</w:t>
            </w:r>
          </w:p>
        </w:tc>
      </w:tr>
      <w:tr w:rsidR="000062FD" w14:paraId="6A0B2922" w14:textId="77777777">
        <w:tc>
          <w:tcPr>
            <w:tcW w:w="8478" w:type="dxa"/>
          </w:tcPr>
          <w:p w14:paraId="5E8FA176" w14:textId="77777777" w:rsidR="000062FD" w:rsidRDefault="00E23985" w:rsidP="004F0046">
            <w:r>
              <w:t>1. Describe regional aquifers, confined and surficial, extent, trends; present and report</w:t>
            </w:r>
          </w:p>
        </w:tc>
        <w:tc>
          <w:tcPr>
            <w:tcW w:w="1800" w:type="dxa"/>
          </w:tcPr>
          <w:p w14:paraId="473226E6" w14:textId="77777777" w:rsidR="000062FD" w:rsidRDefault="00E23985">
            <w:pPr>
              <w:rPr>
                <w:i/>
              </w:rPr>
            </w:pPr>
            <w:r>
              <w:rPr>
                <w:i/>
              </w:rPr>
              <w:t>6/30/2021</w:t>
            </w:r>
          </w:p>
        </w:tc>
      </w:tr>
      <w:tr w:rsidR="000062FD" w14:paraId="61EB7AEE" w14:textId="77777777">
        <w:tc>
          <w:tcPr>
            <w:tcW w:w="8478" w:type="dxa"/>
          </w:tcPr>
          <w:p w14:paraId="4935E68D" w14:textId="77777777" w:rsidR="000062FD" w:rsidRDefault="00E23985">
            <w:r>
              <w:t>2. Identify hydrogeologic data needs, how to acquire or compile if available; report</w:t>
            </w:r>
          </w:p>
        </w:tc>
        <w:tc>
          <w:tcPr>
            <w:tcW w:w="1800" w:type="dxa"/>
          </w:tcPr>
          <w:p w14:paraId="33DA89F6" w14:textId="77777777" w:rsidR="000062FD" w:rsidRDefault="00E23985">
            <w:pPr>
              <w:rPr>
                <w:i/>
              </w:rPr>
            </w:pPr>
            <w:r>
              <w:rPr>
                <w:i/>
              </w:rPr>
              <w:t>9/30/2021</w:t>
            </w:r>
          </w:p>
        </w:tc>
      </w:tr>
      <w:tr w:rsidR="000062FD" w14:paraId="5C6DBD30" w14:textId="77777777">
        <w:tc>
          <w:tcPr>
            <w:tcW w:w="8478" w:type="dxa"/>
          </w:tcPr>
          <w:p w14:paraId="21D7F120" w14:textId="77777777" w:rsidR="000062FD" w:rsidRDefault="00E23985">
            <w:r>
              <w:t>3. Develop understanding of recharge potential of aquifers; present and report</w:t>
            </w:r>
          </w:p>
        </w:tc>
        <w:tc>
          <w:tcPr>
            <w:tcW w:w="1800" w:type="dxa"/>
          </w:tcPr>
          <w:p w14:paraId="744A2B58" w14:textId="77777777" w:rsidR="000062FD" w:rsidRDefault="00E23985">
            <w:pPr>
              <w:rPr>
                <w:i/>
              </w:rPr>
            </w:pPr>
            <w:r>
              <w:rPr>
                <w:i/>
              </w:rPr>
              <w:t>12/30/2021</w:t>
            </w:r>
          </w:p>
        </w:tc>
      </w:tr>
    </w:tbl>
    <w:p w14:paraId="78FFBBC4" w14:textId="77777777" w:rsidR="000062FD" w:rsidRDefault="000062FD">
      <w:pPr>
        <w:tabs>
          <w:tab w:val="left" w:pos="540"/>
        </w:tabs>
      </w:pPr>
    </w:p>
    <w:p w14:paraId="05D34C89" w14:textId="77777777" w:rsidR="00CC3AD7" w:rsidRDefault="00CC3AD7">
      <w:pPr>
        <w:rPr>
          <w:b/>
        </w:rPr>
      </w:pPr>
      <w:r>
        <w:rPr>
          <w:b/>
        </w:rPr>
        <w:br w:type="page"/>
      </w:r>
    </w:p>
    <w:p w14:paraId="162BE0D7" w14:textId="77777777" w:rsidR="006B55CD" w:rsidRDefault="006B55CD">
      <w:pPr>
        <w:rPr>
          <w:b/>
        </w:rPr>
      </w:pPr>
    </w:p>
    <w:p w14:paraId="2C5D4D02" w14:textId="77777777" w:rsidR="000062FD" w:rsidRDefault="00E23985">
      <w:pPr>
        <w:rPr>
          <w:b/>
        </w:rPr>
      </w:pPr>
      <w:r>
        <w:rPr>
          <w:b/>
        </w:rPr>
        <w:t>Activity 3: Evaluate the environmental barriers and engineering requirements to treat water to the standard required to recharge groundwater while avoiding unwanted effects in aquifers.</w:t>
      </w:r>
    </w:p>
    <w:p w14:paraId="12600259" w14:textId="77777777" w:rsidR="006B55CD" w:rsidRDefault="00E23985">
      <w:r>
        <w:t xml:space="preserve">Using </w:t>
      </w:r>
      <w:r w:rsidR="006B55CD">
        <w:t xml:space="preserve">local and regional </w:t>
      </w:r>
      <w:r>
        <w:t xml:space="preserve">examples of successful recharge, identify best practices </w:t>
      </w:r>
      <w:r w:rsidR="00B32705">
        <w:t xml:space="preserve">for ASR </w:t>
      </w:r>
      <w:r>
        <w:t>required to minimize risk to groundwater quality, human health and ecosystems</w:t>
      </w:r>
      <w:r w:rsidR="006B55CD">
        <w:t>.</w:t>
      </w:r>
    </w:p>
    <w:p w14:paraId="0846C1CA" w14:textId="77777777" w:rsidR="00B32705" w:rsidRDefault="00B32705">
      <w:pPr>
        <w:rPr>
          <w:b/>
        </w:rPr>
      </w:pPr>
    </w:p>
    <w:p w14:paraId="1D85115E" w14:textId="77777777" w:rsidR="000062FD" w:rsidRDefault="00E23985">
      <w:pPr>
        <w:rPr>
          <w:b/>
        </w:rPr>
      </w:pPr>
      <w:r>
        <w:rPr>
          <w:b/>
        </w:rPr>
        <w:t>ENRTF BUDGET: $50,000</w:t>
      </w:r>
    </w:p>
    <w:tbl>
      <w:tblPr>
        <w:tblStyle w:val="a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0062FD" w14:paraId="714BBCBA" w14:textId="77777777">
        <w:tc>
          <w:tcPr>
            <w:tcW w:w="8478" w:type="dxa"/>
          </w:tcPr>
          <w:p w14:paraId="14F7F25B" w14:textId="77777777" w:rsidR="000062FD" w:rsidRDefault="00E23985">
            <w:pPr>
              <w:rPr>
                <w:b/>
              </w:rPr>
            </w:pPr>
            <w:r>
              <w:rPr>
                <w:b/>
              </w:rPr>
              <w:t>Outcome</w:t>
            </w:r>
          </w:p>
        </w:tc>
        <w:tc>
          <w:tcPr>
            <w:tcW w:w="1800" w:type="dxa"/>
          </w:tcPr>
          <w:p w14:paraId="0719512C" w14:textId="77777777" w:rsidR="000062FD" w:rsidRDefault="00E23985">
            <w:pPr>
              <w:jc w:val="center"/>
              <w:rPr>
                <w:b/>
              </w:rPr>
            </w:pPr>
            <w:r>
              <w:rPr>
                <w:b/>
              </w:rPr>
              <w:t>Completion Date</w:t>
            </w:r>
          </w:p>
        </w:tc>
      </w:tr>
      <w:tr w:rsidR="000062FD" w14:paraId="0206C157" w14:textId="77777777">
        <w:tc>
          <w:tcPr>
            <w:tcW w:w="8478" w:type="dxa"/>
          </w:tcPr>
          <w:p w14:paraId="0194312C" w14:textId="77777777" w:rsidR="000062FD" w:rsidRDefault="00E23985">
            <w:r>
              <w:t>1. Compile relevant case studies; present and report</w:t>
            </w:r>
          </w:p>
        </w:tc>
        <w:tc>
          <w:tcPr>
            <w:tcW w:w="1800" w:type="dxa"/>
          </w:tcPr>
          <w:p w14:paraId="2D2F135E" w14:textId="77777777" w:rsidR="000062FD" w:rsidRDefault="00E23985">
            <w:pPr>
              <w:rPr>
                <w:i/>
              </w:rPr>
            </w:pPr>
            <w:r>
              <w:rPr>
                <w:i/>
              </w:rPr>
              <w:t>6/30/2021</w:t>
            </w:r>
          </w:p>
        </w:tc>
      </w:tr>
      <w:tr w:rsidR="000062FD" w14:paraId="2CDE2120" w14:textId="77777777">
        <w:tc>
          <w:tcPr>
            <w:tcW w:w="8478" w:type="dxa"/>
          </w:tcPr>
          <w:p w14:paraId="5833CA75" w14:textId="77777777" w:rsidR="000062FD" w:rsidRDefault="00E23985">
            <w:r>
              <w:t xml:space="preserve">2. In selected aquifers, review geochemistry, water sources </w:t>
            </w:r>
          </w:p>
        </w:tc>
        <w:tc>
          <w:tcPr>
            <w:tcW w:w="1800" w:type="dxa"/>
          </w:tcPr>
          <w:p w14:paraId="55EAD444" w14:textId="77777777" w:rsidR="000062FD" w:rsidRDefault="00E23985">
            <w:pPr>
              <w:rPr>
                <w:i/>
              </w:rPr>
            </w:pPr>
            <w:r>
              <w:rPr>
                <w:i/>
              </w:rPr>
              <w:t>9/30/2021</w:t>
            </w:r>
          </w:p>
        </w:tc>
      </w:tr>
      <w:tr w:rsidR="000062FD" w14:paraId="645ECE99" w14:textId="77777777">
        <w:tc>
          <w:tcPr>
            <w:tcW w:w="8478" w:type="dxa"/>
          </w:tcPr>
          <w:p w14:paraId="60A99C18" w14:textId="77777777" w:rsidR="000062FD" w:rsidRDefault="00E23985">
            <w:r>
              <w:t>3. Evaluate engineering and pre-treatment options required to minimize risk; report</w:t>
            </w:r>
          </w:p>
        </w:tc>
        <w:tc>
          <w:tcPr>
            <w:tcW w:w="1800" w:type="dxa"/>
          </w:tcPr>
          <w:p w14:paraId="65D62BE5" w14:textId="77777777" w:rsidR="000062FD" w:rsidRDefault="00E23985">
            <w:pPr>
              <w:rPr>
                <w:i/>
              </w:rPr>
            </w:pPr>
            <w:r>
              <w:rPr>
                <w:i/>
              </w:rPr>
              <w:t>12/30/2021</w:t>
            </w:r>
          </w:p>
        </w:tc>
      </w:tr>
    </w:tbl>
    <w:p w14:paraId="2428BEB1" w14:textId="77777777" w:rsidR="000062FD" w:rsidRPr="004F0046" w:rsidRDefault="000062FD">
      <w:pPr>
        <w:rPr>
          <w:b/>
          <w:sz w:val="20"/>
          <w:szCs w:val="20"/>
        </w:rPr>
      </w:pPr>
    </w:p>
    <w:p w14:paraId="4A28507C" w14:textId="77777777" w:rsidR="000062FD" w:rsidRDefault="00E23985">
      <w:pPr>
        <w:rPr>
          <w:b/>
          <w:i/>
        </w:rPr>
      </w:pPr>
      <w:r>
        <w:rPr>
          <w:b/>
        </w:rPr>
        <w:t xml:space="preserve">Activity 4: </w:t>
      </w:r>
      <w:r>
        <w:t xml:space="preserve"> </w:t>
      </w:r>
      <w:r>
        <w:rPr>
          <w:b/>
        </w:rPr>
        <w:t>Evaluate the economic and policy barriers to recharge.</w:t>
      </w:r>
    </w:p>
    <w:p w14:paraId="07A48A21" w14:textId="77777777" w:rsidR="000062FD" w:rsidRDefault="006B55CD">
      <w:r>
        <w:t xml:space="preserve">Assess the economics for aquifer recharge and evaluate the existing policy barriers </w:t>
      </w:r>
      <w:r w:rsidR="00B32705">
        <w:t>for</w:t>
      </w:r>
      <w:r>
        <w:t xml:space="preserve"> aquifer recharge.  </w:t>
      </w:r>
    </w:p>
    <w:p w14:paraId="4E53C8BD" w14:textId="77777777" w:rsidR="00B32705" w:rsidRDefault="00B32705">
      <w:pPr>
        <w:rPr>
          <w:b/>
        </w:rPr>
      </w:pPr>
    </w:p>
    <w:p w14:paraId="7F48CFB3" w14:textId="77777777" w:rsidR="000062FD" w:rsidRDefault="00E23985">
      <w:r>
        <w:rPr>
          <w:b/>
        </w:rPr>
        <w:t>ENRTF BUDGET: $ 75,000</w:t>
      </w:r>
    </w:p>
    <w:tbl>
      <w:tblPr>
        <w:tblStyle w:val="a2"/>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4F0046" w14:paraId="0B0F14DE" w14:textId="77777777">
        <w:tc>
          <w:tcPr>
            <w:tcW w:w="8478" w:type="dxa"/>
          </w:tcPr>
          <w:p w14:paraId="27550C73" w14:textId="77777777" w:rsidR="004F0046" w:rsidRDefault="004F0046" w:rsidP="004F0046">
            <w:pPr>
              <w:rPr>
                <w:b/>
              </w:rPr>
            </w:pPr>
            <w:r>
              <w:rPr>
                <w:b/>
              </w:rPr>
              <w:t>Outcomes</w:t>
            </w:r>
          </w:p>
        </w:tc>
        <w:tc>
          <w:tcPr>
            <w:tcW w:w="1800" w:type="dxa"/>
          </w:tcPr>
          <w:p w14:paraId="04CB6C86" w14:textId="77777777" w:rsidR="004F0046" w:rsidRDefault="004F0046" w:rsidP="004F0046">
            <w:pPr>
              <w:jc w:val="center"/>
              <w:rPr>
                <w:b/>
              </w:rPr>
            </w:pPr>
            <w:r>
              <w:rPr>
                <w:b/>
              </w:rPr>
              <w:t>Completion Date</w:t>
            </w:r>
          </w:p>
        </w:tc>
      </w:tr>
      <w:tr w:rsidR="004F0046" w14:paraId="75296D98" w14:textId="77777777">
        <w:tc>
          <w:tcPr>
            <w:tcW w:w="8478" w:type="dxa"/>
          </w:tcPr>
          <w:p w14:paraId="5CA0475D" w14:textId="77777777" w:rsidR="004F0046" w:rsidRDefault="004F0046" w:rsidP="004F0046">
            <w:r>
              <w:t>1.  Determine economic conditions where recharge is feasible; present and report</w:t>
            </w:r>
          </w:p>
        </w:tc>
        <w:tc>
          <w:tcPr>
            <w:tcW w:w="1800" w:type="dxa"/>
          </w:tcPr>
          <w:p w14:paraId="0BDE95E7" w14:textId="77777777" w:rsidR="004F0046" w:rsidRDefault="004F0046" w:rsidP="004F0046">
            <w:pPr>
              <w:rPr>
                <w:i/>
              </w:rPr>
            </w:pPr>
            <w:r>
              <w:rPr>
                <w:i/>
              </w:rPr>
              <w:t>6/30/2021</w:t>
            </w:r>
          </w:p>
        </w:tc>
      </w:tr>
      <w:tr w:rsidR="004F0046" w14:paraId="338C1257" w14:textId="77777777">
        <w:tc>
          <w:tcPr>
            <w:tcW w:w="8478" w:type="dxa"/>
          </w:tcPr>
          <w:p w14:paraId="515E66A4" w14:textId="77777777" w:rsidR="004F0046" w:rsidRDefault="004F0046" w:rsidP="004F0046">
            <w:r>
              <w:t xml:space="preserve">2. </w:t>
            </w:r>
            <w:r w:rsidR="00E23985">
              <w:t xml:space="preserve"> </w:t>
            </w:r>
            <w:r>
              <w:t>Assess existing rule and statute changes to implement recharge; present and report</w:t>
            </w:r>
          </w:p>
        </w:tc>
        <w:tc>
          <w:tcPr>
            <w:tcW w:w="1800" w:type="dxa"/>
          </w:tcPr>
          <w:p w14:paraId="2D947653" w14:textId="77777777" w:rsidR="004F0046" w:rsidRDefault="004F0046" w:rsidP="004F0046">
            <w:pPr>
              <w:rPr>
                <w:i/>
              </w:rPr>
            </w:pPr>
            <w:r>
              <w:rPr>
                <w:i/>
              </w:rPr>
              <w:t>9/30/2021</w:t>
            </w:r>
          </w:p>
        </w:tc>
      </w:tr>
    </w:tbl>
    <w:p w14:paraId="1FA85253" w14:textId="77777777" w:rsidR="000062FD" w:rsidRDefault="000062FD">
      <w:pPr>
        <w:pBdr>
          <w:top w:val="nil"/>
          <w:left w:val="nil"/>
          <w:bottom w:val="nil"/>
          <w:right w:val="nil"/>
          <w:between w:val="nil"/>
        </w:pBdr>
        <w:ind w:hanging="720"/>
        <w:rPr>
          <w:b/>
          <w:color w:val="000000"/>
        </w:rPr>
      </w:pPr>
    </w:p>
    <w:p w14:paraId="176AEEE8" w14:textId="77777777" w:rsidR="000062FD" w:rsidRDefault="00E23985" w:rsidP="006A49F9">
      <w:pPr>
        <w:pBdr>
          <w:top w:val="nil"/>
          <w:left w:val="nil"/>
          <w:bottom w:val="nil"/>
          <w:right w:val="nil"/>
          <w:between w:val="nil"/>
        </w:pBdr>
        <w:ind w:left="720" w:hanging="720"/>
        <w:rPr>
          <w:b/>
          <w:color w:val="000000"/>
        </w:rPr>
      </w:pPr>
      <w:r>
        <w:rPr>
          <w:b/>
          <w:color w:val="000000"/>
        </w:rPr>
        <w:t xml:space="preserve">Activity </w:t>
      </w:r>
      <w:r>
        <w:rPr>
          <w:b/>
        </w:rPr>
        <w:t>5</w:t>
      </w:r>
      <w:r>
        <w:rPr>
          <w:b/>
          <w:color w:val="000000"/>
        </w:rPr>
        <w:t>: Project management, stakeholder engagement, meeting facilitation</w:t>
      </w:r>
      <w:r>
        <w:rPr>
          <w:b/>
        </w:rPr>
        <w:t>,</w:t>
      </w:r>
      <w:r>
        <w:rPr>
          <w:b/>
          <w:color w:val="000000"/>
        </w:rPr>
        <w:t xml:space="preserve"> report and </w:t>
      </w:r>
      <w:r>
        <w:rPr>
          <w:b/>
        </w:rPr>
        <w:t>dissemination</w:t>
      </w:r>
    </w:p>
    <w:p w14:paraId="7C5BE8F5" w14:textId="77777777" w:rsidR="00B32705" w:rsidRDefault="00B32705">
      <w:pPr>
        <w:rPr>
          <w:b/>
        </w:rPr>
      </w:pPr>
    </w:p>
    <w:p w14:paraId="6D05056C" w14:textId="77777777" w:rsidR="000062FD" w:rsidRDefault="00E23985">
      <w:r>
        <w:rPr>
          <w:b/>
        </w:rPr>
        <w:t xml:space="preserve">ENRTF BUDGET: $ 75,000 </w:t>
      </w:r>
    </w:p>
    <w:tbl>
      <w:tblPr>
        <w:tblStyle w:val="a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4F0046" w14:paraId="21A45432" w14:textId="77777777">
        <w:tc>
          <w:tcPr>
            <w:tcW w:w="8478" w:type="dxa"/>
          </w:tcPr>
          <w:p w14:paraId="74ADFB57" w14:textId="77777777" w:rsidR="004F0046" w:rsidRDefault="004F0046" w:rsidP="004F0046">
            <w:pPr>
              <w:rPr>
                <w:b/>
              </w:rPr>
            </w:pPr>
            <w:r>
              <w:rPr>
                <w:b/>
              </w:rPr>
              <w:t>Outcomes</w:t>
            </w:r>
          </w:p>
        </w:tc>
        <w:tc>
          <w:tcPr>
            <w:tcW w:w="1800" w:type="dxa"/>
          </w:tcPr>
          <w:p w14:paraId="5190233A" w14:textId="77777777" w:rsidR="004F0046" w:rsidRDefault="004F0046" w:rsidP="004F0046">
            <w:pPr>
              <w:jc w:val="center"/>
              <w:rPr>
                <w:b/>
              </w:rPr>
            </w:pPr>
            <w:r>
              <w:rPr>
                <w:b/>
              </w:rPr>
              <w:t>Completion Date</w:t>
            </w:r>
          </w:p>
        </w:tc>
      </w:tr>
      <w:tr w:rsidR="004F0046" w14:paraId="35A7FEA0" w14:textId="77777777">
        <w:tc>
          <w:tcPr>
            <w:tcW w:w="8478" w:type="dxa"/>
          </w:tcPr>
          <w:p w14:paraId="383EB9C3" w14:textId="77777777" w:rsidR="004F0046" w:rsidRDefault="004F0046" w:rsidP="004F0046">
            <w:r>
              <w:t>1.  Schedule and prepare for working meetings in which subgroups report out to full group</w:t>
            </w:r>
          </w:p>
        </w:tc>
        <w:tc>
          <w:tcPr>
            <w:tcW w:w="1800" w:type="dxa"/>
          </w:tcPr>
          <w:p w14:paraId="59693F23" w14:textId="77777777" w:rsidR="004F0046" w:rsidRDefault="004F0046" w:rsidP="004F0046">
            <w:pPr>
              <w:rPr>
                <w:i/>
              </w:rPr>
            </w:pPr>
            <w:r>
              <w:rPr>
                <w:i/>
              </w:rPr>
              <w:t>9/30/2021</w:t>
            </w:r>
          </w:p>
        </w:tc>
      </w:tr>
      <w:tr w:rsidR="004F0046" w14:paraId="243EEDB0" w14:textId="77777777">
        <w:tc>
          <w:tcPr>
            <w:tcW w:w="8478" w:type="dxa"/>
          </w:tcPr>
          <w:p w14:paraId="08E022F6" w14:textId="77777777" w:rsidR="004F0046" w:rsidRDefault="004F0046" w:rsidP="004F0046">
            <w:r>
              <w:t xml:space="preserve">2.  Engage broad stakeholder group with relevant experience and public </w:t>
            </w:r>
          </w:p>
        </w:tc>
        <w:tc>
          <w:tcPr>
            <w:tcW w:w="1800" w:type="dxa"/>
          </w:tcPr>
          <w:p w14:paraId="19A9DAE3" w14:textId="77777777" w:rsidR="004F0046" w:rsidRDefault="004F0046" w:rsidP="004F0046">
            <w:pPr>
              <w:rPr>
                <w:i/>
              </w:rPr>
            </w:pPr>
            <w:r>
              <w:rPr>
                <w:i/>
              </w:rPr>
              <w:t>9/30/2021</w:t>
            </w:r>
          </w:p>
        </w:tc>
      </w:tr>
      <w:tr w:rsidR="004F0046" w14:paraId="74B6BF71" w14:textId="77777777">
        <w:tc>
          <w:tcPr>
            <w:tcW w:w="8478" w:type="dxa"/>
          </w:tcPr>
          <w:p w14:paraId="1D314DC2" w14:textId="77777777" w:rsidR="004F0046" w:rsidRDefault="004F0046" w:rsidP="004F0046">
            <w:r>
              <w:t xml:space="preserve">3.  Publish and disseminate report to LCCMR and legislative committees, and stakeholders </w:t>
            </w:r>
          </w:p>
        </w:tc>
        <w:tc>
          <w:tcPr>
            <w:tcW w:w="1800" w:type="dxa"/>
          </w:tcPr>
          <w:p w14:paraId="0780D6A2" w14:textId="77777777" w:rsidR="004F0046" w:rsidRDefault="004F0046" w:rsidP="004F0046">
            <w:pPr>
              <w:rPr>
                <w:i/>
              </w:rPr>
            </w:pPr>
            <w:r>
              <w:rPr>
                <w:i/>
              </w:rPr>
              <w:t>12/30/2021</w:t>
            </w:r>
          </w:p>
        </w:tc>
      </w:tr>
    </w:tbl>
    <w:p w14:paraId="21DB53E7" w14:textId="77777777" w:rsidR="000062FD" w:rsidRDefault="000062FD">
      <w:pPr>
        <w:pBdr>
          <w:top w:val="nil"/>
          <w:left w:val="nil"/>
          <w:bottom w:val="nil"/>
          <w:right w:val="nil"/>
          <w:between w:val="nil"/>
        </w:pBdr>
        <w:ind w:hanging="720"/>
        <w:rPr>
          <w:b/>
          <w:color w:val="000000"/>
        </w:rPr>
      </w:pPr>
    </w:p>
    <w:p w14:paraId="762E9683" w14:textId="77777777" w:rsidR="00197BDA" w:rsidRDefault="00E23985" w:rsidP="00197BDA">
      <w:pPr>
        <w:tabs>
          <w:tab w:val="left" w:pos="540"/>
        </w:tabs>
        <w:rPr>
          <w:b/>
          <w:color w:val="000000"/>
        </w:rPr>
      </w:pPr>
      <w:r>
        <w:rPr>
          <w:b/>
        </w:rPr>
        <w:t>III</w:t>
      </w:r>
      <w:r w:rsidR="000D4095">
        <w:rPr>
          <w:b/>
        </w:rPr>
        <w:t>A</w:t>
      </w:r>
      <w:r>
        <w:rPr>
          <w:b/>
        </w:rPr>
        <w:t xml:space="preserve">. </w:t>
      </w:r>
      <w:r w:rsidR="004F0046">
        <w:rPr>
          <w:b/>
          <w:color w:val="000000"/>
        </w:rPr>
        <w:t>PROJECT PARTNERS</w:t>
      </w:r>
      <w:r w:rsidR="000D4095">
        <w:rPr>
          <w:b/>
          <w:color w:val="000000"/>
        </w:rPr>
        <w:t xml:space="preserve"> RECEIVING ENTRF FUNDING</w:t>
      </w:r>
      <w:r w:rsidR="00197BDA">
        <w:rPr>
          <w:b/>
          <w:color w:val="000000"/>
        </w:rPr>
        <w:t xml:space="preserve"> - Name, Title, Affiliation, Role</w:t>
      </w:r>
    </w:p>
    <w:p w14:paraId="7451185F"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hanging="270"/>
        <w:rPr>
          <w:color w:val="000000"/>
        </w:rPr>
      </w:pPr>
      <w:r w:rsidRPr="00197BDA">
        <w:rPr>
          <w:color w:val="000000"/>
        </w:rPr>
        <w:t xml:space="preserve">Jeff Peterson, Director, </w:t>
      </w:r>
      <w:r>
        <w:rPr>
          <w:color w:val="000000"/>
        </w:rPr>
        <w:t>WRC:</w:t>
      </w:r>
      <w:r w:rsidRPr="00197BDA">
        <w:rPr>
          <w:color w:val="000000"/>
        </w:rPr>
        <w:t xml:space="preserve"> </w:t>
      </w:r>
      <w:r w:rsidRPr="00197BDA">
        <w:rPr>
          <w:i/>
          <w:color w:val="000000"/>
        </w:rPr>
        <w:t>Economics analysis</w:t>
      </w:r>
    </w:p>
    <w:p w14:paraId="6620ED38"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hanging="270"/>
        <w:rPr>
          <w:color w:val="000000"/>
        </w:rPr>
      </w:pPr>
      <w:r>
        <w:t>John Bilotta</w:t>
      </w:r>
      <w:r w:rsidRPr="00197BDA">
        <w:rPr>
          <w:color w:val="000000"/>
        </w:rPr>
        <w:t xml:space="preserve">, </w:t>
      </w:r>
      <w:r>
        <w:t>Senior Research and Extension Coordinator, WRC</w:t>
      </w:r>
      <w:r>
        <w:rPr>
          <w:color w:val="000000"/>
        </w:rPr>
        <w:t xml:space="preserve">: </w:t>
      </w:r>
      <w:r w:rsidRPr="00197BDA">
        <w:rPr>
          <w:color w:val="000000"/>
        </w:rPr>
        <w:t xml:space="preserve"> </w:t>
      </w:r>
      <w:r w:rsidRPr="00197BDA">
        <w:rPr>
          <w:i/>
        </w:rPr>
        <w:t>Project management, policy analysis</w:t>
      </w:r>
    </w:p>
    <w:p w14:paraId="18396F2A"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hanging="270"/>
        <w:rPr>
          <w:color w:val="000000"/>
        </w:rPr>
      </w:pPr>
      <w:r w:rsidRPr="00197BDA">
        <w:rPr>
          <w:color w:val="000000"/>
        </w:rPr>
        <w:t>Bob Tipping</w:t>
      </w:r>
      <w:r>
        <w:t xml:space="preserve"> and</w:t>
      </w:r>
      <w:r w:rsidRPr="00197BDA">
        <w:rPr>
          <w:color w:val="000000"/>
        </w:rPr>
        <w:t xml:space="preserve"> Tony Runkel , Hydrologist, Minn</w:t>
      </w:r>
      <w:r>
        <w:t>.</w:t>
      </w:r>
      <w:r w:rsidRPr="00197BDA">
        <w:rPr>
          <w:color w:val="000000"/>
        </w:rPr>
        <w:t xml:space="preserve"> Geological Survey</w:t>
      </w:r>
      <w:r>
        <w:rPr>
          <w:color w:val="000000"/>
        </w:rPr>
        <w:t>:</w:t>
      </w:r>
      <w:r w:rsidRPr="00197BDA">
        <w:rPr>
          <w:color w:val="000000"/>
        </w:rPr>
        <w:t xml:space="preserve"> </w:t>
      </w:r>
      <w:r w:rsidRPr="00197BDA">
        <w:rPr>
          <w:i/>
          <w:color w:val="000000"/>
        </w:rPr>
        <w:t xml:space="preserve">Aquifer and aquitard </w:t>
      </w:r>
      <w:r w:rsidRPr="00197BDA">
        <w:rPr>
          <w:i/>
        </w:rPr>
        <w:t>characterization</w:t>
      </w:r>
    </w:p>
    <w:p w14:paraId="6E6A4E5C"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hanging="270"/>
        <w:rPr>
          <w:i/>
          <w:color w:val="000000"/>
        </w:rPr>
      </w:pPr>
      <w:r>
        <w:t>Bill Arnold</w:t>
      </w:r>
      <w:r w:rsidRPr="00197BDA">
        <w:rPr>
          <w:color w:val="000000"/>
        </w:rPr>
        <w:t>, Faculty , CEGE, U of M</w:t>
      </w:r>
      <w:r>
        <w:rPr>
          <w:color w:val="000000"/>
        </w:rPr>
        <w:t>:</w:t>
      </w:r>
      <w:r w:rsidRPr="00197BDA">
        <w:rPr>
          <w:color w:val="000000"/>
        </w:rPr>
        <w:t xml:space="preserve"> </w:t>
      </w:r>
      <w:r w:rsidRPr="00197BDA">
        <w:rPr>
          <w:i/>
          <w:color w:val="000000"/>
        </w:rPr>
        <w:t>Engineering  analysis</w:t>
      </w:r>
    </w:p>
    <w:p w14:paraId="7F4D10C9" w14:textId="77777777" w:rsidR="00197BDA" w:rsidRDefault="00197BDA" w:rsidP="00197BDA">
      <w:pPr>
        <w:pStyle w:val="ListParagraph"/>
        <w:numPr>
          <w:ilvl w:val="0"/>
          <w:numId w:val="1"/>
        </w:numPr>
        <w:pBdr>
          <w:top w:val="nil"/>
          <w:left w:val="nil"/>
          <w:bottom w:val="nil"/>
          <w:right w:val="nil"/>
          <w:between w:val="nil"/>
        </w:pBdr>
        <w:spacing w:before="120"/>
        <w:ind w:left="270" w:hanging="270"/>
      </w:pPr>
      <w:r>
        <w:t>Brian Bohman, Research Fellow</w:t>
      </w:r>
      <w:r w:rsidRPr="00197BDA">
        <w:rPr>
          <w:color w:val="000000"/>
        </w:rPr>
        <w:t xml:space="preserve">, </w:t>
      </w:r>
      <w:r>
        <w:t>Freshwater Society and WRC:</w:t>
      </w:r>
      <w:r w:rsidRPr="00197BDA">
        <w:rPr>
          <w:i/>
        </w:rPr>
        <w:t xml:space="preserve"> Research</w:t>
      </w:r>
    </w:p>
    <w:p w14:paraId="4A89E87A"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hanging="270"/>
        <w:rPr>
          <w:color w:val="000000"/>
        </w:rPr>
      </w:pPr>
      <w:r>
        <w:t>Lucia Levers</w:t>
      </w:r>
      <w:r w:rsidRPr="00197BDA">
        <w:rPr>
          <w:color w:val="000000"/>
        </w:rPr>
        <w:t xml:space="preserve">, </w:t>
      </w:r>
      <w:r>
        <w:t>Research Associate</w:t>
      </w:r>
      <w:r w:rsidRPr="00197BDA">
        <w:rPr>
          <w:color w:val="000000"/>
        </w:rPr>
        <w:t xml:space="preserve">, </w:t>
      </w:r>
      <w:r>
        <w:t>WRC:</w:t>
      </w:r>
      <w:r w:rsidRPr="00197BDA">
        <w:rPr>
          <w:color w:val="000000"/>
        </w:rPr>
        <w:t xml:space="preserve"> </w:t>
      </w:r>
      <w:r w:rsidRPr="00197BDA">
        <w:rPr>
          <w:i/>
        </w:rPr>
        <w:t>Economic analysis</w:t>
      </w:r>
    </w:p>
    <w:p w14:paraId="27A87B18" w14:textId="77777777" w:rsidR="00197BDA" w:rsidRPr="00197BDA" w:rsidRDefault="00197BDA" w:rsidP="00197BDA">
      <w:pPr>
        <w:pStyle w:val="ListParagraph"/>
        <w:numPr>
          <w:ilvl w:val="0"/>
          <w:numId w:val="1"/>
        </w:numPr>
        <w:pBdr>
          <w:top w:val="nil"/>
          <w:left w:val="nil"/>
          <w:bottom w:val="nil"/>
          <w:right w:val="nil"/>
          <w:between w:val="nil"/>
        </w:pBdr>
        <w:spacing w:before="120"/>
        <w:ind w:left="270" w:right="-540" w:hanging="270"/>
        <w:rPr>
          <w:color w:val="000000"/>
        </w:rPr>
      </w:pPr>
      <w:r w:rsidRPr="00197BDA">
        <w:rPr>
          <w:color w:val="000000"/>
        </w:rPr>
        <w:t>Carrie Jennings, Research and Policy Director, Freshwater</w:t>
      </w:r>
      <w:r>
        <w:rPr>
          <w:color w:val="000000"/>
        </w:rPr>
        <w:t xml:space="preserve"> Society:  </w:t>
      </w:r>
      <w:r w:rsidRPr="00197BDA">
        <w:rPr>
          <w:i/>
        </w:rPr>
        <w:t>Research, s</w:t>
      </w:r>
      <w:r w:rsidRPr="00197BDA">
        <w:rPr>
          <w:i/>
          <w:color w:val="000000"/>
        </w:rPr>
        <w:t>takeholder engagement</w:t>
      </w:r>
      <w:r w:rsidRPr="00197BDA">
        <w:rPr>
          <w:i/>
        </w:rPr>
        <w:t>,</w:t>
      </w:r>
      <w:r w:rsidRPr="00197BDA">
        <w:rPr>
          <w:i/>
          <w:color w:val="000000"/>
        </w:rPr>
        <w:t xml:space="preserve"> facilitation</w:t>
      </w:r>
    </w:p>
    <w:p w14:paraId="05871B58" w14:textId="2772CE1D" w:rsidR="00197BDA" w:rsidRPr="00197BDA" w:rsidRDefault="00197BDA" w:rsidP="00197BDA">
      <w:pPr>
        <w:pStyle w:val="ListParagraph"/>
        <w:numPr>
          <w:ilvl w:val="0"/>
          <w:numId w:val="1"/>
        </w:numPr>
        <w:pBdr>
          <w:top w:val="nil"/>
          <w:left w:val="nil"/>
          <w:bottom w:val="nil"/>
          <w:right w:val="nil"/>
          <w:between w:val="nil"/>
        </w:pBdr>
        <w:spacing w:before="120"/>
        <w:ind w:left="270" w:hanging="270"/>
        <w:rPr>
          <w:color w:val="000000"/>
        </w:rPr>
      </w:pPr>
      <w:r w:rsidRPr="00197BDA">
        <w:rPr>
          <w:color w:val="000000"/>
        </w:rPr>
        <w:t>Peter Kang, Faculty, Earth Sciences</w:t>
      </w:r>
      <w:r>
        <w:rPr>
          <w:color w:val="000000"/>
        </w:rPr>
        <w:t xml:space="preserve">: </w:t>
      </w:r>
      <w:r w:rsidRPr="00197BDA">
        <w:rPr>
          <w:i/>
          <w:color w:val="000000"/>
        </w:rPr>
        <w:t>Aquifer storage</w:t>
      </w:r>
      <w:r w:rsidRPr="00197BDA">
        <w:rPr>
          <w:i/>
        </w:rPr>
        <w:t xml:space="preserve"> and r</w:t>
      </w:r>
      <w:r w:rsidRPr="00197BDA">
        <w:rPr>
          <w:i/>
          <w:color w:val="000000"/>
        </w:rPr>
        <w:t>ecovery</w:t>
      </w:r>
      <w:r w:rsidR="00C0371F">
        <w:rPr>
          <w:i/>
          <w:color w:val="000000"/>
        </w:rPr>
        <w:t xml:space="preserve"> through wells</w:t>
      </w:r>
    </w:p>
    <w:p w14:paraId="2B30A75B" w14:textId="77777777" w:rsidR="00383D1C" w:rsidRDefault="00383D1C" w:rsidP="004F0046">
      <w:pPr>
        <w:rPr>
          <w:b/>
        </w:rPr>
      </w:pPr>
    </w:p>
    <w:p w14:paraId="0491243B" w14:textId="77777777" w:rsidR="00197BDA" w:rsidRDefault="000D4095" w:rsidP="004F0046">
      <w:pPr>
        <w:rPr>
          <w:b/>
        </w:rPr>
      </w:pPr>
      <w:r w:rsidRPr="000D4095">
        <w:rPr>
          <w:b/>
        </w:rPr>
        <w:t>IIIB.  COLLABORATORS AND PARTNERS PARTICIPATING BUT NOT RECEIVING FUNDING</w:t>
      </w:r>
    </w:p>
    <w:p w14:paraId="4F279A90" w14:textId="77777777" w:rsidR="000D4095" w:rsidRPr="000D4095" w:rsidRDefault="000D4095" w:rsidP="00B32705">
      <w:pPr>
        <w:pStyle w:val="ListParagraph"/>
        <w:numPr>
          <w:ilvl w:val="0"/>
          <w:numId w:val="2"/>
        </w:numPr>
        <w:spacing w:before="120"/>
        <w:ind w:left="360"/>
        <w:rPr>
          <w:rFonts w:ascii="Times New Roman" w:eastAsia="Times New Roman" w:hAnsi="Times New Roman" w:cs="Times New Roman"/>
          <w:sz w:val="24"/>
          <w:szCs w:val="24"/>
        </w:rPr>
      </w:pPr>
      <w:r w:rsidRPr="000D4095">
        <w:rPr>
          <w:rFonts w:eastAsia="Times New Roman"/>
          <w:color w:val="000000"/>
        </w:rPr>
        <w:t>Peter Boulay or Kenny Blumenfeld</w:t>
      </w:r>
      <w:r w:rsidRPr="000D4095">
        <w:rPr>
          <w:rFonts w:ascii="Times New Roman" w:eastAsia="Times New Roman" w:hAnsi="Times New Roman" w:cs="Times New Roman"/>
          <w:sz w:val="24"/>
          <w:szCs w:val="24"/>
        </w:rPr>
        <w:t xml:space="preserve">, </w:t>
      </w:r>
      <w:r w:rsidRPr="000D4095">
        <w:rPr>
          <w:rFonts w:eastAsia="Times New Roman"/>
          <w:color w:val="000000"/>
        </w:rPr>
        <w:t>State Climatologist</w:t>
      </w:r>
      <w:r w:rsidRPr="000D4095">
        <w:rPr>
          <w:rFonts w:ascii="Times New Roman" w:eastAsia="Times New Roman" w:hAnsi="Times New Roman" w:cs="Times New Roman"/>
          <w:sz w:val="24"/>
          <w:szCs w:val="24"/>
        </w:rPr>
        <w:t xml:space="preserve">, </w:t>
      </w:r>
      <w:r w:rsidRPr="000D4095">
        <w:rPr>
          <w:rFonts w:eastAsia="Times New Roman"/>
          <w:color w:val="000000"/>
        </w:rPr>
        <w:t>DNR</w:t>
      </w:r>
      <w:r w:rsidR="00530371">
        <w:rPr>
          <w:rFonts w:eastAsia="Times New Roman"/>
          <w:color w:val="000000"/>
        </w:rPr>
        <w:t>:</w:t>
      </w:r>
      <w:r w:rsidRPr="000D4095">
        <w:rPr>
          <w:rFonts w:ascii="Times New Roman" w:eastAsia="Times New Roman" w:hAnsi="Times New Roman" w:cs="Times New Roman"/>
          <w:sz w:val="24"/>
          <w:szCs w:val="24"/>
        </w:rPr>
        <w:t xml:space="preserve"> </w:t>
      </w:r>
      <w:r w:rsidRPr="00530371">
        <w:rPr>
          <w:rFonts w:eastAsia="Times New Roman"/>
          <w:i/>
          <w:color w:val="000000"/>
        </w:rPr>
        <w:t>Climate projections</w:t>
      </w:r>
      <w:r w:rsidRPr="000D4095">
        <w:rPr>
          <w:rFonts w:eastAsia="Times New Roman"/>
          <w:color w:val="000000"/>
        </w:rPr>
        <w:t xml:space="preserve"> </w:t>
      </w:r>
    </w:p>
    <w:p w14:paraId="3D6169D1" w14:textId="77777777" w:rsidR="000D4095" w:rsidRPr="000D4095" w:rsidRDefault="000D4095" w:rsidP="00B32705">
      <w:pPr>
        <w:pStyle w:val="ListParagraph"/>
        <w:numPr>
          <w:ilvl w:val="0"/>
          <w:numId w:val="2"/>
        </w:numPr>
        <w:spacing w:before="120"/>
        <w:ind w:left="360"/>
        <w:rPr>
          <w:rFonts w:ascii="Times New Roman" w:eastAsia="Times New Roman" w:hAnsi="Times New Roman" w:cs="Times New Roman"/>
          <w:sz w:val="24"/>
          <w:szCs w:val="24"/>
        </w:rPr>
      </w:pPr>
      <w:r w:rsidRPr="000D4095">
        <w:rPr>
          <w:rFonts w:eastAsia="Times New Roman"/>
          <w:color w:val="000000"/>
        </w:rPr>
        <w:t>Jeff Paddock or employee under Sandeep Burman</w:t>
      </w:r>
      <w:r w:rsidRPr="000D4095">
        <w:rPr>
          <w:rFonts w:ascii="Times New Roman" w:eastAsia="Times New Roman" w:hAnsi="Times New Roman" w:cs="Times New Roman"/>
          <w:sz w:val="24"/>
          <w:szCs w:val="24"/>
        </w:rPr>
        <w:t xml:space="preserve">, </w:t>
      </w:r>
      <w:r w:rsidRPr="000D4095">
        <w:rPr>
          <w:rFonts w:eastAsia="Times New Roman"/>
          <w:color w:val="000000"/>
        </w:rPr>
        <w:t>Hydrologist</w:t>
      </w:r>
      <w:r w:rsidRPr="000D4095">
        <w:rPr>
          <w:rFonts w:ascii="Times New Roman" w:eastAsia="Times New Roman" w:hAnsi="Times New Roman" w:cs="Times New Roman"/>
          <w:sz w:val="24"/>
          <w:szCs w:val="24"/>
        </w:rPr>
        <w:t xml:space="preserve">, </w:t>
      </w:r>
      <w:r w:rsidRPr="000D4095">
        <w:rPr>
          <w:rFonts w:eastAsia="Times New Roman"/>
          <w:color w:val="000000"/>
        </w:rPr>
        <w:t>MDH</w:t>
      </w:r>
      <w:r w:rsidR="00530371">
        <w:rPr>
          <w:rFonts w:eastAsia="Times New Roman"/>
          <w:color w:val="000000"/>
        </w:rPr>
        <w:t xml:space="preserve">:  </w:t>
      </w:r>
      <w:r w:rsidRPr="00530371">
        <w:rPr>
          <w:rFonts w:eastAsia="Times New Roman"/>
          <w:i/>
          <w:color w:val="000000"/>
        </w:rPr>
        <w:t>Health oversight</w:t>
      </w:r>
    </w:p>
    <w:p w14:paraId="5D255928" w14:textId="77777777" w:rsidR="000D4095" w:rsidRPr="000D4095" w:rsidRDefault="000D4095" w:rsidP="00B32705">
      <w:pPr>
        <w:pStyle w:val="ListParagraph"/>
        <w:numPr>
          <w:ilvl w:val="0"/>
          <w:numId w:val="2"/>
        </w:numPr>
        <w:spacing w:before="120"/>
        <w:ind w:left="360"/>
        <w:rPr>
          <w:rFonts w:ascii="Times New Roman" w:eastAsia="Times New Roman" w:hAnsi="Times New Roman" w:cs="Times New Roman"/>
          <w:sz w:val="24"/>
          <w:szCs w:val="24"/>
        </w:rPr>
      </w:pPr>
      <w:r w:rsidRPr="000D4095">
        <w:rPr>
          <w:rFonts w:eastAsia="Times New Roman"/>
          <w:color w:val="000000"/>
        </w:rPr>
        <w:t>Greg Kruse or Joy Loughry</w:t>
      </w:r>
      <w:r w:rsidRPr="000D4095">
        <w:rPr>
          <w:rFonts w:ascii="Times New Roman" w:eastAsia="Times New Roman" w:hAnsi="Times New Roman" w:cs="Times New Roman"/>
          <w:sz w:val="24"/>
          <w:szCs w:val="24"/>
        </w:rPr>
        <w:t xml:space="preserve">, </w:t>
      </w:r>
      <w:r w:rsidRPr="000D4095">
        <w:rPr>
          <w:rFonts w:eastAsia="Times New Roman"/>
          <w:color w:val="000000"/>
        </w:rPr>
        <w:t>Groundwater Monitoring</w:t>
      </w:r>
      <w:r w:rsidRPr="000D4095">
        <w:rPr>
          <w:rFonts w:ascii="Times New Roman" w:eastAsia="Times New Roman" w:hAnsi="Times New Roman" w:cs="Times New Roman"/>
          <w:sz w:val="24"/>
          <w:szCs w:val="24"/>
        </w:rPr>
        <w:t xml:space="preserve">, </w:t>
      </w:r>
      <w:r w:rsidRPr="000D4095">
        <w:rPr>
          <w:rFonts w:eastAsia="Times New Roman"/>
          <w:color w:val="000000"/>
        </w:rPr>
        <w:t>DNR</w:t>
      </w:r>
      <w:r w:rsidR="00530371">
        <w:rPr>
          <w:rFonts w:eastAsia="Times New Roman"/>
          <w:color w:val="000000"/>
        </w:rPr>
        <w:t xml:space="preserve">: </w:t>
      </w:r>
      <w:r w:rsidRPr="00530371">
        <w:rPr>
          <w:rFonts w:eastAsia="Times New Roman"/>
          <w:i/>
          <w:color w:val="000000"/>
        </w:rPr>
        <w:t>Groundwater monitoring and projections</w:t>
      </w:r>
    </w:p>
    <w:p w14:paraId="7CDA3263" w14:textId="77777777" w:rsidR="000D4095" w:rsidRPr="000D4095" w:rsidRDefault="000D4095" w:rsidP="00B32705">
      <w:pPr>
        <w:pStyle w:val="ListParagraph"/>
        <w:numPr>
          <w:ilvl w:val="0"/>
          <w:numId w:val="2"/>
        </w:numPr>
        <w:spacing w:before="120"/>
        <w:ind w:left="360"/>
        <w:rPr>
          <w:rFonts w:ascii="Times New Roman" w:eastAsia="Times New Roman" w:hAnsi="Times New Roman" w:cs="Times New Roman"/>
          <w:sz w:val="24"/>
          <w:szCs w:val="24"/>
        </w:rPr>
      </w:pPr>
      <w:r w:rsidRPr="000D4095">
        <w:rPr>
          <w:rFonts w:eastAsia="Times New Roman"/>
          <w:color w:val="000000"/>
        </w:rPr>
        <w:lastRenderedPageBreak/>
        <w:t>Jared Troost, or Stephen M. Westenbroek</w:t>
      </w:r>
      <w:r w:rsidRPr="000D4095">
        <w:rPr>
          <w:rFonts w:ascii="Times New Roman" w:eastAsia="Times New Roman" w:hAnsi="Times New Roman" w:cs="Times New Roman"/>
          <w:sz w:val="24"/>
          <w:szCs w:val="24"/>
        </w:rPr>
        <w:t xml:space="preserve">, </w:t>
      </w:r>
      <w:r w:rsidRPr="000D4095">
        <w:rPr>
          <w:rFonts w:eastAsia="Times New Roman"/>
          <w:color w:val="000000"/>
        </w:rPr>
        <w:t>Hydrogeologists</w:t>
      </w:r>
      <w:r w:rsidRPr="000D4095">
        <w:rPr>
          <w:rFonts w:ascii="Times New Roman" w:eastAsia="Times New Roman" w:hAnsi="Times New Roman" w:cs="Times New Roman"/>
          <w:sz w:val="24"/>
          <w:szCs w:val="24"/>
        </w:rPr>
        <w:t xml:space="preserve">, </w:t>
      </w:r>
      <w:r w:rsidRPr="000D4095">
        <w:rPr>
          <w:rFonts w:eastAsia="Times New Roman"/>
          <w:color w:val="000000"/>
        </w:rPr>
        <w:t>USGS</w:t>
      </w:r>
      <w:r w:rsidR="00530371">
        <w:rPr>
          <w:rFonts w:eastAsia="Times New Roman"/>
          <w:color w:val="000000"/>
        </w:rPr>
        <w:t xml:space="preserve">: </w:t>
      </w:r>
      <w:r w:rsidRPr="00530371">
        <w:rPr>
          <w:rFonts w:eastAsia="Times New Roman"/>
          <w:i/>
          <w:color w:val="000000"/>
        </w:rPr>
        <w:t>Water Balance projections</w:t>
      </w:r>
    </w:p>
    <w:p w14:paraId="59CBFE84" w14:textId="77777777" w:rsidR="000D4095" w:rsidRPr="000D4095" w:rsidRDefault="000D4095" w:rsidP="00B32705">
      <w:pPr>
        <w:pStyle w:val="ListParagraph"/>
        <w:numPr>
          <w:ilvl w:val="0"/>
          <w:numId w:val="2"/>
        </w:numPr>
        <w:spacing w:before="120"/>
        <w:ind w:left="360"/>
        <w:rPr>
          <w:rFonts w:ascii="Times New Roman" w:eastAsia="Times New Roman" w:hAnsi="Times New Roman" w:cs="Times New Roman"/>
          <w:sz w:val="24"/>
          <w:szCs w:val="24"/>
        </w:rPr>
      </w:pPr>
      <w:r w:rsidRPr="000D4095">
        <w:rPr>
          <w:rFonts w:eastAsia="Times New Roman"/>
          <w:color w:val="000000"/>
        </w:rPr>
        <w:t>Tracy Twine</w:t>
      </w:r>
      <w:r w:rsidRPr="000D4095">
        <w:rPr>
          <w:rFonts w:ascii="Times New Roman" w:eastAsia="Times New Roman" w:hAnsi="Times New Roman" w:cs="Times New Roman"/>
          <w:sz w:val="24"/>
          <w:szCs w:val="24"/>
        </w:rPr>
        <w:t xml:space="preserve">, </w:t>
      </w:r>
      <w:r w:rsidRPr="000D4095">
        <w:rPr>
          <w:rFonts w:eastAsia="Times New Roman"/>
          <w:color w:val="000000"/>
        </w:rPr>
        <w:t>Faculty</w:t>
      </w:r>
      <w:r w:rsidRPr="000D4095">
        <w:rPr>
          <w:rFonts w:ascii="Times New Roman" w:eastAsia="Times New Roman" w:hAnsi="Times New Roman" w:cs="Times New Roman"/>
          <w:sz w:val="24"/>
          <w:szCs w:val="24"/>
        </w:rPr>
        <w:t xml:space="preserve">, </w:t>
      </w:r>
      <w:r w:rsidRPr="000D4095">
        <w:rPr>
          <w:rFonts w:eastAsia="Times New Roman"/>
          <w:color w:val="000000"/>
        </w:rPr>
        <w:t>Soil Water and Climate</w:t>
      </w:r>
      <w:r w:rsidR="00530371">
        <w:rPr>
          <w:rFonts w:eastAsia="Times New Roman"/>
          <w:color w:val="000000"/>
        </w:rPr>
        <w:t xml:space="preserve">:  </w:t>
      </w:r>
      <w:r w:rsidRPr="00530371">
        <w:rPr>
          <w:rFonts w:eastAsia="Times New Roman"/>
          <w:i/>
          <w:color w:val="000000"/>
        </w:rPr>
        <w:t>Climate projections</w:t>
      </w:r>
    </w:p>
    <w:p w14:paraId="01F00638" w14:textId="77777777" w:rsidR="000D4095" w:rsidRPr="000D4095" w:rsidRDefault="000D4095" w:rsidP="00B32705">
      <w:pPr>
        <w:pStyle w:val="ListParagraph"/>
        <w:numPr>
          <w:ilvl w:val="0"/>
          <w:numId w:val="2"/>
        </w:numPr>
        <w:spacing w:before="120"/>
        <w:ind w:left="360" w:right="-450"/>
        <w:rPr>
          <w:rFonts w:ascii="Times New Roman" w:eastAsia="Times New Roman" w:hAnsi="Times New Roman" w:cs="Times New Roman"/>
          <w:sz w:val="24"/>
          <w:szCs w:val="24"/>
        </w:rPr>
      </w:pPr>
      <w:r w:rsidRPr="000D4095">
        <w:rPr>
          <w:rFonts w:eastAsia="Times New Roman"/>
          <w:color w:val="000000"/>
        </w:rPr>
        <w:t>Ali El Hassan</w:t>
      </w:r>
      <w:r w:rsidRPr="000D4095">
        <w:rPr>
          <w:rFonts w:ascii="Times New Roman" w:eastAsia="Times New Roman" w:hAnsi="Times New Roman" w:cs="Times New Roman"/>
          <w:sz w:val="24"/>
          <w:szCs w:val="24"/>
        </w:rPr>
        <w:t xml:space="preserve">, </w:t>
      </w:r>
      <w:r w:rsidRPr="000D4095">
        <w:rPr>
          <w:rFonts w:eastAsia="Times New Roman"/>
          <w:color w:val="000000"/>
        </w:rPr>
        <w:t>Water Supply Planning</w:t>
      </w:r>
      <w:r w:rsidRPr="000D4095">
        <w:rPr>
          <w:rFonts w:ascii="Times New Roman" w:eastAsia="Times New Roman" w:hAnsi="Times New Roman" w:cs="Times New Roman"/>
          <w:sz w:val="24"/>
          <w:szCs w:val="24"/>
        </w:rPr>
        <w:t xml:space="preserve">, </w:t>
      </w:r>
      <w:r w:rsidRPr="000D4095">
        <w:rPr>
          <w:rFonts w:eastAsia="Times New Roman"/>
          <w:color w:val="000000"/>
        </w:rPr>
        <w:t>Metropolitan Council and Environmental Services</w:t>
      </w:r>
      <w:r w:rsidR="00530371">
        <w:rPr>
          <w:rFonts w:eastAsia="Times New Roman"/>
          <w:color w:val="000000"/>
        </w:rPr>
        <w:t xml:space="preserve">: </w:t>
      </w:r>
      <w:r w:rsidRPr="00530371">
        <w:rPr>
          <w:rFonts w:eastAsia="Times New Roman"/>
          <w:i/>
          <w:color w:val="000000"/>
        </w:rPr>
        <w:t>Water supply projections</w:t>
      </w:r>
    </w:p>
    <w:p w14:paraId="702B33E9" w14:textId="77777777" w:rsidR="000D4095" w:rsidRDefault="000D4095" w:rsidP="00B32705">
      <w:pPr>
        <w:pStyle w:val="ListParagraph"/>
        <w:numPr>
          <w:ilvl w:val="0"/>
          <w:numId w:val="2"/>
        </w:numPr>
        <w:spacing w:before="120"/>
        <w:ind w:left="360"/>
      </w:pPr>
      <w:r w:rsidRPr="00CC3AD7">
        <w:rPr>
          <w:rFonts w:eastAsia="Times New Roman"/>
          <w:color w:val="000000"/>
        </w:rPr>
        <w:t>Chuck Regan</w:t>
      </w:r>
      <w:r w:rsidRPr="00CC3AD7">
        <w:rPr>
          <w:rFonts w:ascii="Times New Roman" w:eastAsia="Times New Roman" w:hAnsi="Times New Roman" w:cs="Times New Roman"/>
          <w:sz w:val="24"/>
          <w:szCs w:val="24"/>
        </w:rPr>
        <w:t xml:space="preserve">, </w:t>
      </w:r>
      <w:r w:rsidRPr="00CC3AD7">
        <w:rPr>
          <w:rFonts w:eastAsia="Times New Roman"/>
          <w:color w:val="000000"/>
        </w:rPr>
        <w:t>Modeler</w:t>
      </w:r>
      <w:r w:rsidRPr="00CC3AD7">
        <w:rPr>
          <w:rFonts w:ascii="Times New Roman" w:eastAsia="Times New Roman" w:hAnsi="Times New Roman" w:cs="Times New Roman"/>
          <w:sz w:val="24"/>
          <w:szCs w:val="24"/>
        </w:rPr>
        <w:t xml:space="preserve">, </w:t>
      </w:r>
      <w:r w:rsidRPr="00CC3AD7">
        <w:rPr>
          <w:rFonts w:eastAsia="Times New Roman"/>
          <w:color w:val="000000"/>
        </w:rPr>
        <w:t>MPCA</w:t>
      </w:r>
      <w:r w:rsidR="00530371">
        <w:rPr>
          <w:rFonts w:eastAsia="Times New Roman"/>
          <w:color w:val="000000"/>
        </w:rPr>
        <w:t xml:space="preserve">: </w:t>
      </w:r>
      <w:r w:rsidRPr="00530371">
        <w:rPr>
          <w:rFonts w:eastAsia="Times New Roman"/>
          <w:i/>
          <w:color w:val="000000"/>
        </w:rPr>
        <w:t>Recharge partitioning (HSPF) models</w:t>
      </w:r>
    </w:p>
    <w:sectPr w:rsidR="000D4095" w:rsidSect="008C2275">
      <w:headerReference w:type="default" r:id="rId7"/>
      <w:footerReference w:type="default" r:id="rId8"/>
      <w:headerReference w:type="first" r:id="rId9"/>
      <w:footerReference w:type="first" r:id="rId10"/>
      <w:pgSz w:w="12240" w:h="15840"/>
      <w:pgMar w:top="1440" w:right="1080" w:bottom="540" w:left="1080" w:header="576" w:footer="5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3D86A" w14:textId="77777777" w:rsidR="00F80A38" w:rsidRDefault="00E23985">
      <w:r>
        <w:separator/>
      </w:r>
    </w:p>
  </w:endnote>
  <w:endnote w:type="continuationSeparator" w:id="0">
    <w:p w14:paraId="56701991" w14:textId="77777777" w:rsidR="00F80A38" w:rsidRDefault="00E2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DB40" w14:textId="5458C518" w:rsidR="000062FD" w:rsidRDefault="00E239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41F0A">
      <w:rPr>
        <w:noProof/>
        <w:color w:val="000000"/>
      </w:rPr>
      <w:t>1</w:t>
    </w:r>
    <w:r>
      <w:rPr>
        <w:color w:val="000000"/>
      </w:rPr>
      <w:fldChar w:fldCharType="end"/>
    </w:r>
  </w:p>
  <w:p w14:paraId="75D8CD36" w14:textId="77777777" w:rsidR="000062FD" w:rsidRDefault="000062F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18A2" w14:textId="77777777" w:rsidR="000062FD" w:rsidRDefault="00E239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184E4D5" w14:textId="77777777" w:rsidR="000062FD" w:rsidRDefault="000062F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7CB5" w14:textId="77777777" w:rsidR="00F80A38" w:rsidRDefault="00E23985">
      <w:r>
        <w:separator/>
      </w:r>
    </w:p>
  </w:footnote>
  <w:footnote w:type="continuationSeparator" w:id="0">
    <w:p w14:paraId="261214F1" w14:textId="77777777" w:rsidR="00F80A38" w:rsidRDefault="00E23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F86A" w14:textId="77777777" w:rsidR="000062FD" w:rsidRDefault="000062FD">
    <w:pPr>
      <w:widowControl w:val="0"/>
      <w:pBdr>
        <w:top w:val="nil"/>
        <w:left w:val="nil"/>
        <w:bottom w:val="nil"/>
        <w:right w:val="nil"/>
        <w:between w:val="nil"/>
      </w:pBdr>
      <w:spacing w:line="276" w:lineRule="auto"/>
    </w:pPr>
  </w:p>
  <w:tbl>
    <w:tblPr>
      <w:tblStyle w:val="a5"/>
      <w:tblW w:w="10278" w:type="dxa"/>
      <w:tblLayout w:type="fixed"/>
      <w:tblLook w:val="0400" w:firstRow="0" w:lastRow="0" w:firstColumn="0" w:lastColumn="0" w:noHBand="0" w:noVBand="1"/>
    </w:tblPr>
    <w:tblGrid>
      <w:gridCol w:w="1278"/>
      <w:gridCol w:w="9000"/>
    </w:tblGrid>
    <w:tr w:rsidR="000062FD" w14:paraId="063FDDB4" w14:textId="77777777">
      <w:tc>
        <w:tcPr>
          <w:tcW w:w="1278" w:type="dxa"/>
        </w:tcPr>
        <w:p w14:paraId="1A08F445" w14:textId="77777777" w:rsidR="000062FD" w:rsidRDefault="00E23985">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740A963" wp14:editId="06AF442A">
                <wp:extent cx="669925" cy="478155"/>
                <wp:effectExtent l="0" t="0" r="0" b="0"/>
                <wp:docPr id="25"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648FB4E9" w14:textId="77777777" w:rsidR="000062FD" w:rsidRDefault="00E23985">
          <w:pPr>
            <w:rPr>
              <w:b/>
            </w:rPr>
          </w:pPr>
          <w:r>
            <w:rPr>
              <w:b/>
            </w:rPr>
            <w:t>Environment and Natural Resources Trust Fund (ENRTF)</w:t>
          </w:r>
        </w:p>
        <w:p w14:paraId="781C312C" w14:textId="5DFD4679" w:rsidR="000062FD" w:rsidRDefault="00E23985">
          <w:pPr>
            <w:pBdr>
              <w:top w:val="nil"/>
              <w:left w:val="nil"/>
              <w:bottom w:val="nil"/>
              <w:right w:val="nil"/>
              <w:between w:val="nil"/>
            </w:pBdr>
            <w:tabs>
              <w:tab w:val="center" w:pos="4680"/>
              <w:tab w:val="right" w:pos="9360"/>
            </w:tabs>
            <w:rPr>
              <w:b/>
              <w:color w:val="000000"/>
            </w:rPr>
          </w:pPr>
          <w:r>
            <w:rPr>
              <w:b/>
              <w:color w:val="000000"/>
            </w:rPr>
            <w:t>20</w:t>
          </w:r>
          <w:r w:rsidR="00F41F0A">
            <w:rPr>
              <w:b/>
              <w:color w:val="000000"/>
            </w:rPr>
            <w:t>20</w:t>
          </w:r>
          <w:r>
            <w:rPr>
              <w:b/>
              <w:color w:val="000000"/>
            </w:rPr>
            <w:t xml:space="preserve"> Main Proposal</w:t>
          </w:r>
        </w:p>
        <w:p w14:paraId="6C975FB7" w14:textId="77777777" w:rsidR="000062FD" w:rsidRDefault="000062FD">
          <w:pPr>
            <w:pBdr>
              <w:top w:val="nil"/>
              <w:left w:val="nil"/>
              <w:bottom w:val="nil"/>
              <w:right w:val="nil"/>
              <w:between w:val="nil"/>
            </w:pBdr>
            <w:tabs>
              <w:tab w:val="center" w:pos="4680"/>
              <w:tab w:val="right" w:pos="9360"/>
            </w:tabs>
            <w:rPr>
              <w:color w:val="000000"/>
            </w:rPr>
          </w:pPr>
        </w:p>
      </w:tc>
    </w:tr>
  </w:tbl>
  <w:p w14:paraId="5B28FD5C" w14:textId="77777777" w:rsidR="000062FD" w:rsidRDefault="000062FD">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CC9CA" w14:textId="77777777" w:rsidR="000062FD" w:rsidRDefault="000062FD">
    <w:pPr>
      <w:widowControl w:val="0"/>
      <w:pBdr>
        <w:top w:val="nil"/>
        <w:left w:val="nil"/>
        <w:bottom w:val="nil"/>
        <w:right w:val="nil"/>
        <w:between w:val="nil"/>
      </w:pBdr>
      <w:spacing w:line="276" w:lineRule="auto"/>
      <w:rPr>
        <w:color w:val="000000"/>
      </w:rPr>
    </w:pPr>
  </w:p>
  <w:tbl>
    <w:tblPr>
      <w:tblStyle w:val="a6"/>
      <w:tblW w:w="9576" w:type="dxa"/>
      <w:tblLayout w:type="fixed"/>
      <w:tblLook w:val="0400" w:firstRow="0" w:lastRow="0" w:firstColumn="0" w:lastColumn="0" w:noHBand="0" w:noVBand="1"/>
    </w:tblPr>
    <w:tblGrid>
      <w:gridCol w:w="1098"/>
      <w:gridCol w:w="8478"/>
    </w:tblGrid>
    <w:tr w:rsidR="000062FD" w14:paraId="759B2400" w14:textId="77777777">
      <w:tc>
        <w:tcPr>
          <w:tcW w:w="1098" w:type="dxa"/>
        </w:tcPr>
        <w:p w14:paraId="14C60654" w14:textId="77777777" w:rsidR="000062FD" w:rsidRDefault="00E23985">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CD6A2DA" wp14:editId="21324363">
                <wp:extent cx="669925" cy="478155"/>
                <wp:effectExtent l="0" t="0" r="0" b="0"/>
                <wp:docPr id="26"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14:paraId="0BED83FC" w14:textId="77777777" w:rsidR="000062FD" w:rsidRDefault="00E23985">
          <w:pPr>
            <w:rPr>
              <w:b/>
            </w:rPr>
          </w:pPr>
          <w:r>
            <w:rPr>
              <w:b/>
            </w:rPr>
            <w:t>Environment and Natural Resources Trust Fund (ENRTF)</w:t>
          </w:r>
        </w:p>
        <w:p w14:paraId="31ED0841" w14:textId="77777777" w:rsidR="000062FD" w:rsidRDefault="00E23985">
          <w:pPr>
            <w:pBdr>
              <w:top w:val="nil"/>
              <w:left w:val="nil"/>
              <w:bottom w:val="nil"/>
              <w:right w:val="nil"/>
              <w:between w:val="nil"/>
            </w:pBdr>
            <w:tabs>
              <w:tab w:val="center" w:pos="4680"/>
              <w:tab w:val="right" w:pos="9360"/>
            </w:tabs>
            <w:rPr>
              <w:b/>
              <w:color w:val="000000"/>
            </w:rPr>
          </w:pPr>
          <w:r>
            <w:rPr>
              <w:b/>
              <w:color w:val="000000"/>
            </w:rPr>
            <w:t>2014 Main Proposal</w:t>
          </w:r>
        </w:p>
        <w:p w14:paraId="6D6277CF" w14:textId="77777777" w:rsidR="000062FD" w:rsidRDefault="00E23985">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5BC1121A" w14:textId="77777777" w:rsidR="000062FD" w:rsidRDefault="000062FD">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6412"/>
    <w:multiLevelType w:val="hybridMultilevel"/>
    <w:tmpl w:val="837C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3839"/>
    <w:multiLevelType w:val="hybridMultilevel"/>
    <w:tmpl w:val="FFDE8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506"/>
    <w:multiLevelType w:val="hybridMultilevel"/>
    <w:tmpl w:val="BCF6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F6E37"/>
    <w:multiLevelType w:val="hybridMultilevel"/>
    <w:tmpl w:val="E734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653F1"/>
    <w:multiLevelType w:val="hybridMultilevel"/>
    <w:tmpl w:val="15D604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1B2124C"/>
    <w:multiLevelType w:val="hybridMultilevel"/>
    <w:tmpl w:val="33C45F94"/>
    <w:lvl w:ilvl="0" w:tplc="38CE9D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FD"/>
    <w:rsid w:val="000062FD"/>
    <w:rsid w:val="0008541E"/>
    <w:rsid w:val="000D4095"/>
    <w:rsid w:val="00197BDA"/>
    <w:rsid w:val="00383D1C"/>
    <w:rsid w:val="003C1D02"/>
    <w:rsid w:val="004B21F8"/>
    <w:rsid w:val="004D404A"/>
    <w:rsid w:val="004F0046"/>
    <w:rsid w:val="00530371"/>
    <w:rsid w:val="0055388B"/>
    <w:rsid w:val="006A49F9"/>
    <w:rsid w:val="006B55CD"/>
    <w:rsid w:val="007D2A51"/>
    <w:rsid w:val="008C2275"/>
    <w:rsid w:val="00900710"/>
    <w:rsid w:val="0090727A"/>
    <w:rsid w:val="009A70F7"/>
    <w:rsid w:val="00B32705"/>
    <w:rsid w:val="00C0371F"/>
    <w:rsid w:val="00CC3AD7"/>
    <w:rsid w:val="00E236EE"/>
    <w:rsid w:val="00E23985"/>
    <w:rsid w:val="00ED4336"/>
    <w:rsid w:val="00F41F0A"/>
    <w:rsid w:val="00F80A38"/>
    <w:rsid w:val="00FF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FFDAA"/>
  <w15:docId w15:val="{E4EFFC24-1EB5-4F63-8815-D8F937C8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A49F9"/>
    <w:pPr>
      <w:tabs>
        <w:tab w:val="center" w:pos="4680"/>
        <w:tab w:val="right" w:pos="9360"/>
      </w:tabs>
    </w:pPr>
  </w:style>
  <w:style w:type="character" w:customStyle="1" w:styleId="HeaderChar">
    <w:name w:val="Header Char"/>
    <w:basedOn w:val="DefaultParagraphFont"/>
    <w:link w:val="Header"/>
    <w:uiPriority w:val="99"/>
    <w:rsid w:val="006A49F9"/>
  </w:style>
  <w:style w:type="paragraph" w:styleId="Footer">
    <w:name w:val="footer"/>
    <w:basedOn w:val="Normal"/>
    <w:link w:val="FooterChar"/>
    <w:uiPriority w:val="99"/>
    <w:unhideWhenUsed/>
    <w:rsid w:val="006A49F9"/>
    <w:pPr>
      <w:tabs>
        <w:tab w:val="center" w:pos="4680"/>
        <w:tab w:val="right" w:pos="9360"/>
      </w:tabs>
    </w:pPr>
  </w:style>
  <w:style w:type="character" w:customStyle="1" w:styleId="FooterChar">
    <w:name w:val="Footer Char"/>
    <w:basedOn w:val="DefaultParagraphFont"/>
    <w:link w:val="Footer"/>
    <w:uiPriority w:val="99"/>
    <w:rsid w:val="006A49F9"/>
  </w:style>
  <w:style w:type="paragraph" w:styleId="BalloonText">
    <w:name w:val="Balloon Text"/>
    <w:basedOn w:val="Normal"/>
    <w:link w:val="BalloonTextChar"/>
    <w:uiPriority w:val="99"/>
    <w:semiHidden/>
    <w:unhideWhenUsed/>
    <w:rsid w:val="00E23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85"/>
    <w:rPr>
      <w:rFonts w:ascii="Segoe UI" w:hAnsi="Segoe UI" w:cs="Segoe UI"/>
      <w:sz w:val="18"/>
      <w:szCs w:val="18"/>
    </w:rPr>
  </w:style>
  <w:style w:type="paragraph" w:styleId="ListParagraph">
    <w:name w:val="List Paragraph"/>
    <w:basedOn w:val="Normal"/>
    <w:uiPriority w:val="34"/>
    <w:qFormat/>
    <w:rsid w:val="00197BDA"/>
    <w:pPr>
      <w:ind w:left="720"/>
      <w:contextualSpacing/>
    </w:pPr>
  </w:style>
  <w:style w:type="paragraph" w:styleId="NormalWeb">
    <w:name w:val="Normal (Web)"/>
    <w:basedOn w:val="Normal"/>
    <w:uiPriority w:val="99"/>
    <w:semiHidden/>
    <w:unhideWhenUsed/>
    <w:rsid w:val="000D4095"/>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404A"/>
    <w:rPr>
      <w:sz w:val="16"/>
      <w:szCs w:val="16"/>
    </w:rPr>
  </w:style>
  <w:style w:type="paragraph" w:styleId="CommentText">
    <w:name w:val="annotation text"/>
    <w:basedOn w:val="Normal"/>
    <w:link w:val="CommentTextChar"/>
    <w:uiPriority w:val="99"/>
    <w:semiHidden/>
    <w:unhideWhenUsed/>
    <w:rsid w:val="004D404A"/>
    <w:rPr>
      <w:sz w:val="20"/>
      <w:szCs w:val="20"/>
    </w:rPr>
  </w:style>
  <w:style w:type="character" w:customStyle="1" w:styleId="CommentTextChar">
    <w:name w:val="Comment Text Char"/>
    <w:basedOn w:val="DefaultParagraphFont"/>
    <w:link w:val="CommentText"/>
    <w:uiPriority w:val="99"/>
    <w:semiHidden/>
    <w:rsid w:val="004D404A"/>
    <w:rPr>
      <w:sz w:val="20"/>
      <w:szCs w:val="20"/>
    </w:rPr>
  </w:style>
  <w:style w:type="paragraph" w:styleId="CommentSubject">
    <w:name w:val="annotation subject"/>
    <w:basedOn w:val="CommentText"/>
    <w:next w:val="CommentText"/>
    <w:link w:val="CommentSubjectChar"/>
    <w:uiPriority w:val="99"/>
    <w:semiHidden/>
    <w:unhideWhenUsed/>
    <w:rsid w:val="004D404A"/>
    <w:rPr>
      <w:b/>
      <w:bCs/>
    </w:rPr>
  </w:style>
  <w:style w:type="character" w:customStyle="1" w:styleId="CommentSubjectChar">
    <w:name w:val="Comment Subject Char"/>
    <w:basedOn w:val="CommentTextChar"/>
    <w:link w:val="CommentSubject"/>
    <w:uiPriority w:val="99"/>
    <w:semiHidden/>
    <w:rsid w:val="004D4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357974">
      <w:bodyDiv w:val="1"/>
      <w:marLeft w:val="0"/>
      <w:marRight w:val="0"/>
      <w:marTop w:val="0"/>
      <w:marBottom w:val="0"/>
      <w:divBdr>
        <w:top w:val="none" w:sz="0" w:space="0" w:color="auto"/>
        <w:left w:val="none" w:sz="0" w:space="0" w:color="auto"/>
        <w:bottom w:val="none" w:sz="0" w:space="0" w:color="auto"/>
        <w:right w:val="none" w:sz="0" w:space="0" w:color="auto"/>
      </w:divBdr>
      <w:divsChild>
        <w:div w:id="477190155">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Lamp</dc:creator>
  <cp:lastModifiedBy>Diana Griffith</cp:lastModifiedBy>
  <cp:revision>2</cp:revision>
  <cp:lastPrinted>2019-04-01T19:15:00Z</cp:lastPrinted>
  <dcterms:created xsi:type="dcterms:W3CDTF">2019-05-07T18:30:00Z</dcterms:created>
  <dcterms:modified xsi:type="dcterms:W3CDTF">2019-05-07T18:30:00Z</dcterms:modified>
</cp:coreProperties>
</file>