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AA879" w14:textId="77777777" w:rsidR="006E0EFD" w:rsidRPr="00E246F7" w:rsidRDefault="006E0EFD" w:rsidP="006E0EFD">
      <w:pPr>
        <w:jc w:val="center"/>
        <w:rPr>
          <w:rFonts w:cs="Arial"/>
          <w:i/>
        </w:rPr>
      </w:pPr>
    </w:p>
    <w:p w14:paraId="222DF4E3" w14:textId="498EB25F" w:rsidR="006E0EFD" w:rsidRPr="00E246F7" w:rsidRDefault="006E0EFD" w:rsidP="006E0EFD">
      <w:pPr>
        <w:rPr>
          <w:rFonts w:cs="Arial"/>
        </w:rPr>
      </w:pPr>
      <w:r w:rsidRPr="00E246F7">
        <w:rPr>
          <w:rFonts w:cs="Arial"/>
          <w:b/>
        </w:rPr>
        <w:t>PROJECT TITLE:</w:t>
      </w:r>
      <w:r w:rsidR="00E25D5A" w:rsidRPr="00E246F7">
        <w:rPr>
          <w:rFonts w:cs="Arial"/>
          <w:b/>
        </w:rPr>
        <w:t xml:space="preserve"> </w:t>
      </w:r>
      <w:r w:rsidR="00494631">
        <w:rPr>
          <w:rFonts w:cs="Calibri"/>
          <w:b/>
        </w:rPr>
        <w:t>Role of submarine groundwater altering Lake Superior’s shore</w:t>
      </w:r>
    </w:p>
    <w:p w14:paraId="58187484" w14:textId="77777777" w:rsidR="006E0EFD" w:rsidRPr="00E246F7" w:rsidRDefault="006E0EFD" w:rsidP="006E0EFD">
      <w:pPr>
        <w:rPr>
          <w:rFonts w:cs="Arial"/>
        </w:rPr>
      </w:pPr>
    </w:p>
    <w:p w14:paraId="3D3AD3CE" w14:textId="77777777" w:rsidR="006E0EFD" w:rsidRPr="00E246F7" w:rsidRDefault="006E0EFD" w:rsidP="006E0EFD">
      <w:pPr>
        <w:rPr>
          <w:rFonts w:cs="Arial"/>
        </w:rPr>
      </w:pPr>
      <w:r w:rsidRPr="00E246F7">
        <w:rPr>
          <w:rFonts w:cs="Arial"/>
          <w:b/>
        </w:rPr>
        <w:t>I. PROJECT STATEMENT</w:t>
      </w:r>
    </w:p>
    <w:p w14:paraId="6CDD13F6" w14:textId="77777777" w:rsidR="00613344" w:rsidRDefault="00613344" w:rsidP="007B782A">
      <w:pPr>
        <w:ind w:firstLine="720"/>
      </w:pPr>
    </w:p>
    <w:p w14:paraId="4D2D1EF3" w14:textId="06C87742" w:rsidR="006C0090" w:rsidRDefault="00EF6997" w:rsidP="007B782A">
      <w:pPr>
        <w:ind w:firstLine="720"/>
      </w:pPr>
      <w:r>
        <w:t xml:space="preserve">How well can you run a household or State without knowing the budget? </w:t>
      </w:r>
      <w:r w:rsidR="002768C2">
        <w:t xml:space="preserve">The purpose of this project is to assess the role of deep groundwater inputs to the water budget of Lake Superior. </w:t>
      </w:r>
      <w:r w:rsidR="00183F2D">
        <w:t xml:space="preserve">This will allow better forecasting of lake levels and allow consideration of options for stabilizing them, so we can compensate for rates of change to preserve environmental and recreational quality. </w:t>
      </w:r>
      <w:r w:rsidR="005C67CF">
        <w:t xml:space="preserve">Improved predictions of lake levels will help Minnesotans to make better choices about natural resource management along the coast of Lake Superior. </w:t>
      </w:r>
      <w:r>
        <w:t xml:space="preserve">Lake Superior </w:t>
      </w:r>
      <w:r w:rsidR="00BF4689">
        <w:t>i</w:t>
      </w:r>
      <w:r>
        <w:t xml:space="preserve">s 10% of </w:t>
      </w:r>
      <w:r w:rsidR="00BF4689">
        <w:t xml:space="preserve">Earth’s </w:t>
      </w:r>
      <w:r>
        <w:t>surface freshwater and gives Minnesota the most inland seaport in the world yet its water budget (</w:t>
      </w:r>
      <w:r w:rsidR="00A433EC">
        <w:t xml:space="preserve">inflows and outflows </w:t>
      </w:r>
      <w:r>
        <w:t>that determines lake-level) is based on</w:t>
      </w:r>
      <w:r w:rsidR="002768C2">
        <w:t>ly</w:t>
      </w:r>
      <w:r>
        <w:t xml:space="preserve"> </w:t>
      </w:r>
      <w:r w:rsidR="002768C2">
        <w:t>on measures of surface water, evaporation and precipitation</w:t>
      </w:r>
      <w:r w:rsidR="00300BE2">
        <w:t xml:space="preserve"> (see attached figure)</w:t>
      </w:r>
      <w:r>
        <w:t xml:space="preserve">. </w:t>
      </w:r>
      <w:r w:rsidR="004E22F3">
        <w:t>Over</w:t>
      </w:r>
      <w:r>
        <w:t xml:space="preserve"> </w:t>
      </w:r>
      <w:r w:rsidR="002768C2">
        <w:t xml:space="preserve">the past </w:t>
      </w:r>
      <w:r w:rsidR="00BF4689">
        <w:t>60 years</w:t>
      </w:r>
      <w:r>
        <w:t>, the Lake has seen some of its highest and lowest levels in recorded history while</w:t>
      </w:r>
      <w:r w:rsidR="00622F8F">
        <w:t>, in spite of</w:t>
      </w:r>
      <w:r w:rsidR="006C0090">
        <w:t xml:space="preserve"> very high and damaging water levels now, it is</w:t>
      </w:r>
      <w:r>
        <w:t xml:space="preserve"> los</w:t>
      </w:r>
      <w:r w:rsidR="004E22F3">
        <w:t>ing</w:t>
      </w:r>
      <w:r>
        <w:t xml:space="preserve"> 1.5” </w:t>
      </w:r>
      <w:r w:rsidR="002768C2">
        <w:t xml:space="preserve">overall </w:t>
      </w:r>
      <w:r>
        <w:t>every 3-4 years.</w:t>
      </w:r>
      <w:r w:rsidRPr="00EF6997">
        <w:t xml:space="preserve"> </w:t>
      </w:r>
      <w:r w:rsidR="006C0090">
        <w:t>Wide swings in water level causes damage to parks and North Shore recreation areas, unpredictably a</w:t>
      </w:r>
      <w:r w:rsidR="002768C2">
        <w:t>ltered fish habitat, and danger</w:t>
      </w:r>
      <w:r w:rsidR="006C0090">
        <w:t xml:space="preserve"> to recreationists at the </w:t>
      </w:r>
      <w:r w:rsidR="00624AAD">
        <w:t>8 important North Shore parks (</w:t>
      </w:r>
      <w:r w:rsidR="002768C2">
        <w:t xml:space="preserve">including </w:t>
      </w:r>
      <w:r w:rsidR="00624AAD">
        <w:t xml:space="preserve">4 of Minnesota’s most popular). </w:t>
      </w:r>
      <w:r w:rsidR="0041041B">
        <w:t xml:space="preserve">High waters drown river mouths and damage shore ecosystems whereas low water can destroy spawning habitat, shore wetlands, and increase distances between recreational resources and water. </w:t>
      </w:r>
      <w:r w:rsidR="00624AAD">
        <w:t xml:space="preserve">This project will measure the role </w:t>
      </w:r>
      <w:r w:rsidR="001C6D20">
        <w:t xml:space="preserve">of North Shore </w:t>
      </w:r>
      <w:r w:rsidR="00624AAD">
        <w:t xml:space="preserve">submarine groundwater </w:t>
      </w:r>
      <w:r w:rsidR="001C6D20">
        <w:t>in</w:t>
      </w:r>
      <w:r w:rsidR="00624AAD">
        <w:t xml:space="preserve"> </w:t>
      </w:r>
      <w:r w:rsidR="004A5C6A">
        <w:t>determining future levels of Lake Superior.</w:t>
      </w:r>
    </w:p>
    <w:p w14:paraId="754BC11D" w14:textId="77777777" w:rsidR="001C6D20" w:rsidRDefault="001C6D20" w:rsidP="007B782A">
      <w:pPr>
        <w:ind w:firstLine="720"/>
      </w:pPr>
    </w:p>
    <w:p w14:paraId="5B4F2431" w14:textId="5393E0D6" w:rsidR="001C6D20" w:rsidRDefault="000A640D" w:rsidP="007B782A">
      <w:pPr>
        <w:ind w:firstLine="720"/>
      </w:pPr>
      <w:r>
        <w:t xml:space="preserve">Current </w:t>
      </w:r>
      <w:r w:rsidR="00F65931">
        <w:t xml:space="preserve">forecasting </w:t>
      </w:r>
      <w:r>
        <w:t>m</w:t>
      </w:r>
      <w:r w:rsidR="001C6D20">
        <w:t>odels used to design parks, recreation areas, shore installations, and manage fish habitat are inaccurate because they ignore the role of deep, submarine groundwater</w:t>
      </w:r>
      <w:r w:rsidR="00F65931">
        <w:t xml:space="preserve"> discharge to the lake</w:t>
      </w:r>
      <w:r w:rsidR="001C6D20">
        <w:t>.</w:t>
      </w:r>
      <w:r>
        <w:t xml:space="preserve"> There is ample evidence (e.g., North Shore seeps, springs, ice faces on cliffs, waterfalls from rocks, etc.) that groundwater can be an important water source (or loss) especially along the North Shore of the lake where relief is highest (see figure). In fact, other large water bodies, even seas, have been shown to have important </w:t>
      </w:r>
      <w:r w:rsidR="004A5C6A">
        <w:t xml:space="preserve">deep </w:t>
      </w:r>
      <w:r>
        <w:t xml:space="preserve">groundwater inflows. In the Mediterranean Sea, for example, groundwater inflow is 16-times </w:t>
      </w:r>
      <w:r w:rsidR="00822070">
        <w:t xml:space="preserve">as large as </w:t>
      </w:r>
      <w:r>
        <w:t>the water brought in by rivers. Ignoring groundwater inflows and outflows to large water bodies makes it impossible to protect shore environments, especially during a period of changing weather patterns.</w:t>
      </w:r>
    </w:p>
    <w:p w14:paraId="16B58628" w14:textId="77777777" w:rsidR="006C0090" w:rsidRDefault="006C0090" w:rsidP="007B782A">
      <w:pPr>
        <w:ind w:firstLine="720"/>
      </w:pPr>
    </w:p>
    <w:p w14:paraId="13E2BC3B" w14:textId="02140154" w:rsidR="00613344" w:rsidRDefault="00EF6997">
      <w:r>
        <w:tab/>
      </w:r>
      <w:r w:rsidR="00613344">
        <w:t>This project will use isotopic measures of radon (</w:t>
      </w:r>
      <w:r w:rsidR="00613344" w:rsidRPr="00E51A6C">
        <w:rPr>
          <w:vertAlign w:val="superscript"/>
        </w:rPr>
        <w:t>228</w:t>
      </w:r>
      <w:r w:rsidR="00613344">
        <w:t>Ra) in deep and shallow lake water and groundwater sources to calculate how much water enters Lake Superior along the North Shore and how this compares to surface water inflows and outflows as well as losses</w:t>
      </w:r>
      <w:r w:rsidR="00822070">
        <w:t xml:space="preserve"> or gains</w:t>
      </w:r>
      <w:r w:rsidR="00613344">
        <w:t xml:space="preserve"> via evaporation</w:t>
      </w:r>
      <w:r w:rsidR="00822070">
        <w:t xml:space="preserve"> or precipitation</w:t>
      </w:r>
      <w:r w:rsidR="00613344">
        <w:t xml:space="preserve">. </w:t>
      </w:r>
      <w:r w:rsidR="00DD274C">
        <w:t xml:space="preserve">The reason radon is useful for measuring groundwater input is the same </w:t>
      </w:r>
      <w:r w:rsidR="000E2C95">
        <w:t>reason</w:t>
      </w:r>
      <w:r w:rsidR="00DD274C">
        <w:t xml:space="preserve"> it ends up in houses. It is a breakdown</w:t>
      </w:r>
      <w:r w:rsidR="000E2C95">
        <w:t xml:space="preserve"> product from rocks and soils so will be most concentrated in water that has been in contact with them. </w:t>
      </w:r>
      <w:r w:rsidR="00DD274C">
        <w:t xml:space="preserve"> </w:t>
      </w:r>
      <w:r w:rsidR="00F4124F">
        <w:t xml:space="preserve">This works because </w:t>
      </w:r>
      <w:r w:rsidR="00F4124F" w:rsidRPr="00E51A6C">
        <w:rPr>
          <w:vertAlign w:val="superscript"/>
        </w:rPr>
        <w:t>228</w:t>
      </w:r>
      <w:r w:rsidR="00F4124F">
        <w:t>Ra is much more concentrated in groundwater than in precipitation or su</w:t>
      </w:r>
      <w:r w:rsidR="0077265A">
        <w:t>r</w:t>
      </w:r>
      <w:r w:rsidR="00F4124F">
        <w:t xml:space="preserve">face water inputs. </w:t>
      </w:r>
      <w:r w:rsidR="00613344">
        <w:t>We expect North Shore submarine groundwater to represent the majority of that entering the lake because the topographic relief is very high northwest of the lake and groundwater flow is generally fastest where relief is high</w:t>
      </w:r>
      <w:r w:rsidR="0077265A">
        <w:t xml:space="preserve"> (see dark </w:t>
      </w:r>
      <w:r w:rsidR="000E2C95">
        <w:t>arrows</w:t>
      </w:r>
      <w:r w:rsidR="0077265A">
        <w:t xml:space="preserve"> along North Shore in accompanying graphic)</w:t>
      </w:r>
      <w:r w:rsidR="00613344">
        <w:t>.</w:t>
      </w:r>
    </w:p>
    <w:p w14:paraId="3D0590B0" w14:textId="77777777" w:rsidR="00613344" w:rsidRDefault="00613344"/>
    <w:p w14:paraId="55E4A5F4" w14:textId="77777777" w:rsidR="008D2242" w:rsidRPr="00E246F7" w:rsidRDefault="008D2242">
      <w:pPr>
        <w:rPr>
          <w:rFonts w:cs="Arial"/>
        </w:rPr>
      </w:pPr>
    </w:p>
    <w:p w14:paraId="3FBF5CAE" w14:textId="77777777" w:rsidR="006E0EFD" w:rsidRPr="00E246F7" w:rsidRDefault="006E0EFD" w:rsidP="006E0EFD">
      <w:pPr>
        <w:rPr>
          <w:rFonts w:cs="Arial"/>
        </w:rPr>
      </w:pPr>
      <w:r w:rsidRPr="00E246F7">
        <w:rPr>
          <w:rFonts w:cs="Arial"/>
          <w:b/>
        </w:rPr>
        <w:t xml:space="preserve">II. PROJECT </w:t>
      </w:r>
      <w:r w:rsidR="00A13F26" w:rsidRPr="00E246F7">
        <w:rPr>
          <w:rFonts w:cs="Arial"/>
          <w:b/>
        </w:rPr>
        <w:t>ACTIVIT</w:t>
      </w:r>
      <w:r w:rsidR="00533120" w:rsidRPr="00E246F7">
        <w:rPr>
          <w:rFonts w:cs="Arial"/>
          <w:b/>
        </w:rPr>
        <w:t>I</w:t>
      </w:r>
      <w:r w:rsidR="00A13F26" w:rsidRPr="00E246F7">
        <w:rPr>
          <w:rFonts w:cs="Arial"/>
          <w:b/>
        </w:rPr>
        <w:t>ES</w:t>
      </w:r>
      <w:r w:rsidR="00614DF2" w:rsidRPr="00E246F7">
        <w:rPr>
          <w:rFonts w:cs="Arial"/>
          <w:b/>
        </w:rPr>
        <w:t xml:space="preserve"> AND OUTCOMES</w:t>
      </w:r>
    </w:p>
    <w:p w14:paraId="2B534D4A" w14:textId="77777777" w:rsidR="006E0EFD" w:rsidRPr="00E246F7"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246F7" w14:paraId="4849F105" w14:textId="77777777" w:rsidTr="00351EA6">
        <w:tc>
          <w:tcPr>
            <w:tcW w:w="8208" w:type="dxa"/>
          </w:tcPr>
          <w:p w14:paraId="7F7C8DB4" w14:textId="4770BB69" w:rsidR="00686B53" w:rsidRDefault="00686B53">
            <w:pPr>
              <w:widowControl w:val="0"/>
              <w:rPr>
                <w:rFonts w:cs="Arial"/>
              </w:rPr>
            </w:pPr>
            <w:r w:rsidRPr="00E246F7">
              <w:rPr>
                <w:rFonts w:cs="Arial"/>
                <w:b/>
              </w:rPr>
              <w:t>Activity 1</w:t>
            </w:r>
            <w:r w:rsidR="00BA63DC">
              <w:rPr>
                <w:rFonts w:cs="Arial"/>
                <w:b/>
              </w:rPr>
              <w:t xml:space="preserve"> </w:t>
            </w:r>
            <w:r w:rsidR="00DC177A" w:rsidRPr="00E51A6C">
              <w:rPr>
                <w:rFonts w:cs="Arial"/>
              </w:rPr>
              <w:t xml:space="preserve">Collect and concentrate isotopes from groundwater, surface water, and deep </w:t>
            </w:r>
            <w:r w:rsidR="0077265A">
              <w:rPr>
                <w:rFonts w:cs="Arial"/>
              </w:rPr>
              <w:t xml:space="preserve">lake </w:t>
            </w:r>
            <w:r w:rsidR="00DC177A" w:rsidRPr="00E51A6C">
              <w:rPr>
                <w:rFonts w:cs="Arial"/>
              </w:rPr>
              <w:t>water.</w:t>
            </w:r>
          </w:p>
          <w:p w14:paraId="35C8CDB3" w14:textId="25D80BAD" w:rsidR="00F65931" w:rsidRPr="00E246F7" w:rsidRDefault="00F65931">
            <w:pPr>
              <w:widowControl w:val="0"/>
              <w:rPr>
                <w:sz w:val="18"/>
                <w:szCs w:val="18"/>
              </w:rPr>
            </w:pPr>
          </w:p>
        </w:tc>
        <w:tc>
          <w:tcPr>
            <w:tcW w:w="2268" w:type="dxa"/>
          </w:tcPr>
          <w:p w14:paraId="2616D87C" w14:textId="0566689F" w:rsidR="00364F80" w:rsidRDefault="00686B53">
            <w:pPr>
              <w:rPr>
                <w:rFonts w:cs="Arial"/>
                <w:b/>
              </w:rPr>
            </w:pPr>
            <w:r w:rsidRPr="00E246F7">
              <w:rPr>
                <w:rFonts w:cs="Arial"/>
                <w:b/>
              </w:rPr>
              <w:t xml:space="preserve">Budget: </w:t>
            </w:r>
            <w:r w:rsidR="00FC5395">
              <w:rPr>
                <w:rFonts w:cs="Arial"/>
                <w:b/>
              </w:rPr>
              <w:t>$135</w:t>
            </w:r>
            <w:r w:rsidR="00364F80">
              <w:rPr>
                <w:rFonts w:cs="Arial"/>
                <w:b/>
              </w:rPr>
              <w:t>,</w:t>
            </w:r>
            <w:r w:rsidR="00141AA6">
              <w:rPr>
                <w:rFonts w:cs="Arial"/>
                <w:b/>
              </w:rPr>
              <w:t>637</w:t>
            </w:r>
          </w:p>
          <w:p w14:paraId="7388203E" w14:textId="367B54EE" w:rsidR="00686B53" w:rsidRPr="00E246F7" w:rsidRDefault="00686B53">
            <w:pPr>
              <w:rPr>
                <w:rFonts w:cs="Arial"/>
              </w:rPr>
            </w:pPr>
          </w:p>
        </w:tc>
      </w:tr>
    </w:tbl>
    <w:p w14:paraId="57B02874" w14:textId="30CC667F" w:rsidR="006E0EFD" w:rsidRDefault="00E739A3" w:rsidP="006E0EFD">
      <w:r>
        <w:t>We will collect 40 sets of lake water samples from Lake Superior’s surface and near-bottom. Lake samples will be taken from the R/V Blue Heron</w:t>
      </w:r>
      <w:r w:rsidR="00DC177A">
        <w:t>.</w:t>
      </w:r>
      <w:r w:rsidR="00DC177A" w:rsidRPr="00DC177A">
        <w:t xml:space="preserve"> </w:t>
      </w:r>
      <w:r w:rsidR="00DC177A">
        <w:t xml:space="preserve">We will also collect 20 samples of deep groundwater from wells along the North </w:t>
      </w:r>
      <w:r w:rsidR="00DC177A">
        <w:lastRenderedPageBreak/>
        <w:t xml:space="preserve">shore. Because </w:t>
      </w:r>
      <w:r w:rsidR="00DC177A" w:rsidRPr="00E51A6C">
        <w:rPr>
          <w:vertAlign w:val="superscript"/>
        </w:rPr>
        <w:t>228</w:t>
      </w:r>
      <w:r w:rsidR="00DC177A">
        <w:t>Ra concentrations are very low, we will take large samples (100-360 liters) and these samples will be filtered through columns loaded with manganese oxide impregnated acrylic fibers</w:t>
      </w:r>
      <w:r w:rsidR="0077265A">
        <w:t xml:space="preserve"> that will concentrate </w:t>
      </w:r>
      <w:r w:rsidR="0077265A" w:rsidRPr="00E51A6C">
        <w:rPr>
          <w:vertAlign w:val="superscript"/>
        </w:rPr>
        <w:t>228</w:t>
      </w:r>
      <w:r w:rsidR="0077265A">
        <w:t>Ra</w:t>
      </w:r>
      <w:r w:rsidR="000200E7">
        <w:t>. These fibers will be combusted to ash, ground up, and sealed in counting vessels.</w:t>
      </w:r>
      <w:r w:rsidR="00F4124F">
        <w:t xml:space="preserve"> Work will be shared by Downing and a graduate student (yet to be named).</w:t>
      </w:r>
      <w:r w:rsidR="00754D9C">
        <w:t xml:space="preserve"> Research vessel cruise costs will be discounted because Downing is a member of the Large Lakes Observatory research faculty.</w:t>
      </w:r>
    </w:p>
    <w:p w14:paraId="2EE72AD9" w14:textId="77777777" w:rsidR="00F65931" w:rsidRPr="00E246F7" w:rsidRDefault="00F65931"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E246F7" w14:paraId="3670C1C0" w14:textId="77777777" w:rsidTr="005F7237">
        <w:tc>
          <w:tcPr>
            <w:tcW w:w="8478" w:type="dxa"/>
          </w:tcPr>
          <w:p w14:paraId="1C0CC99A" w14:textId="77777777" w:rsidR="006E0EFD" w:rsidRPr="00E246F7" w:rsidRDefault="00A13F26" w:rsidP="006E0EFD">
            <w:pPr>
              <w:rPr>
                <w:rFonts w:cs="Arial"/>
                <w:b/>
              </w:rPr>
            </w:pPr>
            <w:r w:rsidRPr="00E246F7">
              <w:rPr>
                <w:rFonts w:cs="Arial"/>
                <w:b/>
              </w:rPr>
              <w:t>Outcome</w:t>
            </w:r>
          </w:p>
        </w:tc>
        <w:tc>
          <w:tcPr>
            <w:tcW w:w="1800" w:type="dxa"/>
          </w:tcPr>
          <w:p w14:paraId="319EDC28" w14:textId="77777777" w:rsidR="006E0EFD" w:rsidRPr="00E246F7" w:rsidRDefault="006E0EFD" w:rsidP="005F7237">
            <w:pPr>
              <w:jc w:val="center"/>
              <w:rPr>
                <w:rFonts w:cs="Arial"/>
                <w:b/>
              </w:rPr>
            </w:pPr>
            <w:r w:rsidRPr="00E246F7">
              <w:rPr>
                <w:rFonts w:cs="Arial"/>
                <w:b/>
              </w:rPr>
              <w:t>Completion Date</w:t>
            </w:r>
          </w:p>
        </w:tc>
      </w:tr>
      <w:tr w:rsidR="006E0EFD" w:rsidRPr="00E246F7" w14:paraId="5AA9525C" w14:textId="77777777" w:rsidTr="005F7237">
        <w:tc>
          <w:tcPr>
            <w:tcW w:w="8478" w:type="dxa"/>
          </w:tcPr>
          <w:p w14:paraId="1EC5A6B6" w14:textId="033B4927" w:rsidR="006E0EFD" w:rsidRPr="00762DC3" w:rsidRDefault="006E0EFD">
            <w:pPr>
              <w:rPr>
                <w:rFonts w:cs="Arial"/>
              </w:rPr>
            </w:pPr>
            <w:r w:rsidRPr="00762DC3">
              <w:rPr>
                <w:rFonts w:cs="Arial"/>
              </w:rPr>
              <w:t xml:space="preserve">1. </w:t>
            </w:r>
            <w:r w:rsidR="00DC177A">
              <w:rPr>
                <w:rFonts w:cs="Arial"/>
              </w:rPr>
              <w:t>S</w:t>
            </w:r>
            <w:r w:rsidR="00284960">
              <w:rPr>
                <w:rFonts w:cs="Arial"/>
              </w:rPr>
              <w:t>even</w:t>
            </w:r>
            <w:r w:rsidR="00DC177A">
              <w:rPr>
                <w:rFonts w:cs="Arial"/>
              </w:rPr>
              <w:t xml:space="preserve"> cruises of the </w:t>
            </w:r>
            <w:r w:rsidR="00FE597E">
              <w:rPr>
                <w:rFonts w:cs="Arial"/>
              </w:rPr>
              <w:t xml:space="preserve">R/V </w:t>
            </w:r>
            <w:r w:rsidR="00DC177A">
              <w:rPr>
                <w:rFonts w:cs="Arial"/>
              </w:rPr>
              <w:t>Blue Heron to collect samples from surface and deep water</w:t>
            </w:r>
          </w:p>
        </w:tc>
        <w:tc>
          <w:tcPr>
            <w:tcW w:w="1800" w:type="dxa"/>
          </w:tcPr>
          <w:p w14:paraId="1F99644B" w14:textId="013D6B16" w:rsidR="006E0EFD" w:rsidRPr="00762DC3" w:rsidRDefault="00DC177A">
            <w:pPr>
              <w:rPr>
                <w:rFonts w:cs="Arial"/>
              </w:rPr>
            </w:pPr>
            <w:r>
              <w:rPr>
                <w:rFonts w:cs="Arial"/>
              </w:rPr>
              <w:t>October</w:t>
            </w:r>
            <w:r w:rsidRPr="00762DC3">
              <w:rPr>
                <w:rFonts w:cs="Arial"/>
              </w:rPr>
              <w:t xml:space="preserve"> </w:t>
            </w:r>
            <w:r>
              <w:rPr>
                <w:rFonts w:cs="Arial"/>
              </w:rPr>
              <w:t>202</w:t>
            </w:r>
            <w:r w:rsidR="0066403B">
              <w:rPr>
                <w:rFonts w:cs="Arial"/>
              </w:rPr>
              <w:t>0</w:t>
            </w:r>
          </w:p>
        </w:tc>
      </w:tr>
      <w:tr w:rsidR="006E0EFD" w:rsidRPr="00E246F7" w14:paraId="01E8201F" w14:textId="77777777" w:rsidTr="005F7237">
        <w:tc>
          <w:tcPr>
            <w:tcW w:w="8478" w:type="dxa"/>
          </w:tcPr>
          <w:p w14:paraId="2CC96758" w14:textId="39DCE69A" w:rsidR="006E0EFD" w:rsidRPr="00762DC3" w:rsidRDefault="006E0EFD">
            <w:pPr>
              <w:rPr>
                <w:rFonts w:cs="Arial"/>
              </w:rPr>
            </w:pPr>
            <w:r w:rsidRPr="00762DC3">
              <w:rPr>
                <w:rFonts w:cs="Arial"/>
              </w:rPr>
              <w:t xml:space="preserve">2. </w:t>
            </w:r>
            <w:r w:rsidR="00DC177A">
              <w:rPr>
                <w:rFonts w:cs="Arial"/>
              </w:rPr>
              <w:t xml:space="preserve">Concentration of </w:t>
            </w:r>
            <w:r w:rsidR="00DC177A" w:rsidRPr="00E51A6C">
              <w:rPr>
                <w:rFonts w:cs="Arial"/>
                <w:vertAlign w:val="superscript"/>
              </w:rPr>
              <w:t>228</w:t>
            </w:r>
            <w:r w:rsidR="00DC177A">
              <w:rPr>
                <w:rFonts w:cs="Arial"/>
              </w:rPr>
              <w:t>Ra lake water samples</w:t>
            </w:r>
          </w:p>
        </w:tc>
        <w:tc>
          <w:tcPr>
            <w:tcW w:w="1800" w:type="dxa"/>
          </w:tcPr>
          <w:p w14:paraId="458E5F3A" w14:textId="603B9F34" w:rsidR="006E0EFD" w:rsidRPr="00762DC3" w:rsidRDefault="00DC177A">
            <w:pPr>
              <w:rPr>
                <w:rFonts w:cs="Arial"/>
              </w:rPr>
            </w:pPr>
            <w:r>
              <w:rPr>
                <w:rFonts w:cs="Arial"/>
              </w:rPr>
              <w:t>October 202</w:t>
            </w:r>
            <w:r w:rsidR="0066403B">
              <w:rPr>
                <w:rFonts w:cs="Arial"/>
              </w:rPr>
              <w:t>0</w:t>
            </w:r>
          </w:p>
        </w:tc>
      </w:tr>
      <w:tr w:rsidR="006E0EFD" w:rsidRPr="00E246F7" w14:paraId="2F0EC16D" w14:textId="77777777" w:rsidTr="005F7237">
        <w:tc>
          <w:tcPr>
            <w:tcW w:w="8478" w:type="dxa"/>
          </w:tcPr>
          <w:p w14:paraId="4124F5E4" w14:textId="5D7B5F52" w:rsidR="006E0EFD" w:rsidRPr="00762DC3" w:rsidRDefault="006E0EFD">
            <w:pPr>
              <w:rPr>
                <w:rFonts w:cs="Arial"/>
              </w:rPr>
            </w:pPr>
            <w:r w:rsidRPr="00762DC3">
              <w:rPr>
                <w:rFonts w:cs="Arial"/>
              </w:rPr>
              <w:t xml:space="preserve">3. </w:t>
            </w:r>
            <w:r w:rsidR="00DC177A">
              <w:rPr>
                <w:rFonts w:cs="Arial"/>
              </w:rPr>
              <w:t>Collection of groundwater samples from</w:t>
            </w:r>
            <w:r w:rsidR="0077265A">
              <w:rPr>
                <w:rFonts w:cs="Arial"/>
              </w:rPr>
              <w:t xml:space="preserve"> </w:t>
            </w:r>
            <w:r w:rsidR="00DC177A">
              <w:rPr>
                <w:rFonts w:cs="Arial"/>
              </w:rPr>
              <w:t>existing well</w:t>
            </w:r>
            <w:r w:rsidR="0077265A">
              <w:rPr>
                <w:rFonts w:cs="Arial"/>
              </w:rPr>
              <w:t>s</w:t>
            </w:r>
          </w:p>
        </w:tc>
        <w:tc>
          <w:tcPr>
            <w:tcW w:w="1800" w:type="dxa"/>
          </w:tcPr>
          <w:p w14:paraId="41FA0140" w14:textId="17F83751" w:rsidR="006E0EFD" w:rsidRPr="00762DC3" w:rsidRDefault="00DC177A">
            <w:pPr>
              <w:rPr>
                <w:rFonts w:cs="Arial"/>
              </w:rPr>
            </w:pPr>
            <w:r>
              <w:rPr>
                <w:rFonts w:cs="Arial"/>
              </w:rPr>
              <w:t>June 202</w:t>
            </w:r>
            <w:r w:rsidR="0066403B">
              <w:rPr>
                <w:rFonts w:cs="Arial"/>
              </w:rPr>
              <w:t>1</w:t>
            </w:r>
          </w:p>
        </w:tc>
      </w:tr>
      <w:tr w:rsidR="006E0EFD" w:rsidRPr="00E246F7" w14:paraId="160D47C9" w14:textId="77777777" w:rsidTr="00E51A6C">
        <w:trPr>
          <w:trHeight w:val="242"/>
        </w:trPr>
        <w:tc>
          <w:tcPr>
            <w:tcW w:w="8478" w:type="dxa"/>
          </w:tcPr>
          <w:p w14:paraId="641F4FE2" w14:textId="2C9496DD" w:rsidR="006E0EFD" w:rsidRPr="00762DC3" w:rsidRDefault="007C41CD">
            <w:pPr>
              <w:rPr>
                <w:rFonts w:cs="Arial"/>
              </w:rPr>
            </w:pPr>
            <w:r w:rsidRPr="00762DC3">
              <w:rPr>
                <w:rFonts w:cs="Arial"/>
              </w:rPr>
              <w:t xml:space="preserve">4. </w:t>
            </w:r>
            <w:r w:rsidR="0066403B">
              <w:rPr>
                <w:rFonts w:cs="Arial"/>
              </w:rPr>
              <w:t xml:space="preserve">Concentration of </w:t>
            </w:r>
            <w:r w:rsidR="0066403B" w:rsidRPr="00E51A6C">
              <w:rPr>
                <w:rFonts w:cs="Arial"/>
                <w:vertAlign w:val="superscript"/>
              </w:rPr>
              <w:t>228</w:t>
            </w:r>
            <w:r w:rsidR="0066403B">
              <w:rPr>
                <w:rFonts w:cs="Arial"/>
              </w:rPr>
              <w:t>Ra in groundwater samples</w:t>
            </w:r>
          </w:p>
        </w:tc>
        <w:tc>
          <w:tcPr>
            <w:tcW w:w="1800" w:type="dxa"/>
          </w:tcPr>
          <w:p w14:paraId="2048706A" w14:textId="597F8B6B" w:rsidR="006E0EFD" w:rsidRPr="00762DC3" w:rsidRDefault="0066403B" w:rsidP="00FE4817">
            <w:pPr>
              <w:rPr>
                <w:rFonts w:cs="Arial"/>
              </w:rPr>
            </w:pPr>
            <w:r>
              <w:rPr>
                <w:rFonts w:cs="Arial"/>
              </w:rPr>
              <w:t>June 2021</w:t>
            </w:r>
          </w:p>
        </w:tc>
      </w:tr>
    </w:tbl>
    <w:p w14:paraId="1687A31E" w14:textId="77777777" w:rsidR="006E0EFD" w:rsidRPr="00E246F7" w:rsidRDefault="006E0EFD" w:rsidP="006E0EFD">
      <w:pPr>
        <w:rPr>
          <w:rFonts w:cs="Arial"/>
        </w:rPr>
      </w:pPr>
    </w:p>
    <w:tbl>
      <w:tblPr>
        <w:tblW w:w="10476" w:type="dxa"/>
        <w:tblLook w:val="04A0" w:firstRow="1" w:lastRow="0" w:firstColumn="1" w:lastColumn="0" w:noHBand="0" w:noVBand="1"/>
      </w:tblPr>
      <w:tblGrid>
        <w:gridCol w:w="8208"/>
        <w:gridCol w:w="2268"/>
      </w:tblGrid>
      <w:tr w:rsidR="00062497" w:rsidRPr="00E246F7" w14:paraId="74E70649" w14:textId="77777777" w:rsidTr="009A49DE">
        <w:tc>
          <w:tcPr>
            <w:tcW w:w="8208" w:type="dxa"/>
          </w:tcPr>
          <w:p w14:paraId="6641BE07" w14:textId="2554632E" w:rsidR="00062497" w:rsidRDefault="00062497">
            <w:pPr>
              <w:widowControl w:val="0"/>
            </w:pPr>
            <w:r w:rsidRPr="00E246F7">
              <w:rPr>
                <w:rFonts w:cs="Arial"/>
                <w:b/>
              </w:rPr>
              <w:t>Activity 2</w:t>
            </w:r>
            <w:r w:rsidR="00802804" w:rsidRPr="00E246F7">
              <w:rPr>
                <w:rFonts w:cs="Arial"/>
                <w:b/>
              </w:rPr>
              <w:t>:</w:t>
            </w:r>
            <w:r w:rsidR="00802804" w:rsidRPr="00E246F7">
              <w:rPr>
                <w:b/>
              </w:rPr>
              <w:t xml:space="preserve"> </w:t>
            </w:r>
            <w:r w:rsidR="000200E7">
              <w:t xml:space="preserve">Determination of </w:t>
            </w:r>
            <w:r w:rsidR="000200E7" w:rsidRPr="00E51A6C">
              <w:rPr>
                <w:vertAlign w:val="superscript"/>
              </w:rPr>
              <w:t>228</w:t>
            </w:r>
            <w:r w:rsidR="000200E7">
              <w:t>Ra activity and calculation of submarine groundwater inflow rates</w:t>
            </w:r>
          </w:p>
          <w:p w14:paraId="6C89791B" w14:textId="7444B542" w:rsidR="00F65931" w:rsidRPr="00E246F7" w:rsidRDefault="00F65931">
            <w:pPr>
              <w:widowControl w:val="0"/>
              <w:rPr>
                <w:sz w:val="18"/>
                <w:szCs w:val="18"/>
              </w:rPr>
            </w:pPr>
          </w:p>
        </w:tc>
        <w:tc>
          <w:tcPr>
            <w:tcW w:w="2268" w:type="dxa"/>
          </w:tcPr>
          <w:p w14:paraId="2771A1CC" w14:textId="08532B50" w:rsidR="00364F80" w:rsidRDefault="00062497">
            <w:pPr>
              <w:rPr>
                <w:rFonts w:cs="Arial"/>
                <w:b/>
              </w:rPr>
            </w:pPr>
            <w:r w:rsidRPr="00E246F7">
              <w:rPr>
                <w:rFonts w:cs="Arial"/>
                <w:b/>
              </w:rPr>
              <w:t xml:space="preserve">Budget: </w:t>
            </w:r>
            <w:r w:rsidR="00364F80">
              <w:rPr>
                <w:rFonts w:cs="Arial"/>
                <w:b/>
              </w:rPr>
              <w:t>$</w:t>
            </w:r>
            <w:bookmarkStart w:id="0" w:name="_GoBack"/>
            <w:r w:rsidR="00364F80">
              <w:rPr>
                <w:rFonts w:cs="Arial"/>
                <w:b/>
              </w:rPr>
              <w:t>6</w:t>
            </w:r>
            <w:r w:rsidR="00141AA6">
              <w:rPr>
                <w:rFonts w:cs="Arial"/>
                <w:b/>
              </w:rPr>
              <w:t>3,006</w:t>
            </w:r>
            <w:bookmarkEnd w:id="0"/>
          </w:p>
          <w:p w14:paraId="70F7FE63" w14:textId="6760A647" w:rsidR="00062497" w:rsidRPr="00E246F7" w:rsidRDefault="00062497">
            <w:pPr>
              <w:rPr>
                <w:rFonts w:cs="Arial"/>
              </w:rPr>
            </w:pPr>
          </w:p>
        </w:tc>
      </w:tr>
    </w:tbl>
    <w:p w14:paraId="664F96C4" w14:textId="3933C94E" w:rsidR="00F4124F" w:rsidRPr="00E246F7" w:rsidRDefault="000200E7" w:rsidP="00F4124F">
      <w:pPr>
        <w:rPr>
          <w:rFonts w:cs="Arial"/>
          <w:i/>
        </w:rPr>
      </w:pPr>
      <w:r>
        <w:t>Samples collected in activity 1 will be counted in a gamma spectrometer with a well-type, high-purity germanium detector.</w:t>
      </w:r>
      <w:r w:rsidR="00F4124F">
        <w:t xml:space="preserve"> The spatial distribution of </w:t>
      </w:r>
      <w:r w:rsidR="00F4124F" w:rsidRPr="00E51A6C">
        <w:rPr>
          <w:vertAlign w:val="superscript"/>
        </w:rPr>
        <w:t>228</w:t>
      </w:r>
      <w:r w:rsidR="00F4124F">
        <w:t>Ra in the lake will be interpolated and, by comparison with groundwater reference data, inflow rates of submarine groundwater will be calculated. These will be compared with surface inputs/outputs, precipitation inputs, and evaporative loss.</w:t>
      </w:r>
      <w:r w:rsidR="00F4124F" w:rsidRPr="00F4124F">
        <w:t xml:space="preserve"> </w:t>
      </w:r>
      <w:r w:rsidR="00F4124F">
        <w:t>Work will be shared by Downing and a graduate student (yet to be named).</w:t>
      </w:r>
    </w:p>
    <w:p w14:paraId="5DE91521" w14:textId="3649C5E0" w:rsidR="007B3535" w:rsidRPr="00E246F7" w:rsidRDefault="007B3535" w:rsidP="007B3535">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062497" w:rsidRPr="00E246F7" w14:paraId="1254AD27" w14:textId="77777777" w:rsidTr="009A49DE">
        <w:tc>
          <w:tcPr>
            <w:tcW w:w="8478" w:type="dxa"/>
          </w:tcPr>
          <w:p w14:paraId="51DC8182" w14:textId="77777777" w:rsidR="00062497" w:rsidRPr="00E246F7" w:rsidRDefault="00062497" w:rsidP="009A49DE">
            <w:pPr>
              <w:rPr>
                <w:rFonts w:cs="Arial"/>
                <w:b/>
              </w:rPr>
            </w:pPr>
            <w:r w:rsidRPr="00E246F7">
              <w:rPr>
                <w:rFonts w:cs="Arial"/>
                <w:b/>
              </w:rPr>
              <w:t>Outcome</w:t>
            </w:r>
          </w:p>
        </w:tc>
        <w:tc>
          <w:tcPr>
            <w:tcW w:w="1800" w:type="dxa"/>
          </w:tcPr>
          <w:p w14:paraId="13612EFF" w14:textId="77777777" w:rsidR="00062497" w:rsidRPr="00E246F7" w:rsidRDefault="00062497" w:rsidP="009A49DE">
            <w:pPr>
              <w:jc w:val="center"/>
              <w:rPr>
                <w:rFonts w:cs="Arial"/>
                <w:b/>
              </w:rPr>
            </w:pPr>
            <w:r w:rsidRPr="00E246F7">
              <w:rPr>
                <w:rFonts w:cs="Arial"/>
                <w:b/>
              </w:rPr>
              <w:t>Completion Date</w:t>
            </w:r>
          </w:p>
        </w:tc>
      </w:tr>
      <w:tr w:rsidR="00062497" w:rsidRPr="00E246F7" w14:paraId="60B08772" w14:textId="77777777" w:rsidTr="009A49DE">
        <w:tc>
          <w:tcPr>
            <w:tcW w:w="8478" w:type="dxa"/>
          </w:tcPr>
          <w:p w14:paraId="558373B4" w14:textId="253E3BCB" w:rsidR="00062497" w:rsidRPr="00E246F7" w:rsidRDefault="00062497">
            <w:pPr>
              <w:rPr>
                <w:rFonts w:cs="Arial"/>
              </w:rPr>
            </w:pPr>
            <w:r w:rsidRPr="00E246F7">
              <w:rPr>
                <w:rFonts w:cs="Arial"/>
              </w:rPr>
              <w:t xml:space="preserve">1. </w:t>
            </w:r>
            <w:r w:rsidR="00F4124F">
              <w:rPr>
                <w:rFonts w:cs="Arial"/>
              </w:rPr>
              <w:t>Complete gamma spectrometry</w:t>
            </w:r>
          </w:p>
        </w:tc>
        <w:tc>
          <w:tcPr>
            <w:tcW w:w="1800" w:type="dxa"/>
          </w:tcPr>
          <w:p w14:paraId="2EFAA59F" w14:textId="4DF9E999" w:rsidR="00062497" w:rsidRPr="00E246F7" w:rsidRDefault="00F4124F" w:rsidP="00FE4817">
            <w:pPr>
              <w:rPr>
                <w:rFonts w:cs="Arial"/>
              </w:rPr>
            </w:pPr>
            <w:r>
              <w:rPr>
                <w:rFonts w:cs="Arial"/>
              </w:rPr>
              <w:t>December 2021</w:t>
            </w:r>
          </w:p>
        </w:tc>
      </w:tr>
      <w:tr w:rsidR="00062497" w:rsidRPr="00E246F7" w14:paraId="2B59D5F4" w14:textId="77777777" w:rsidTr="009A49DE">
        <w:tc>
          <w:tcPr>
            <w:tcW w:w="8478" w:type="dxa"/>
          </w:tcPr>
          <w:p w14:paraId="6F491394" w14:textId="4FDDE0F4" w:rsidR="00062497" w:rsidRPr="00E246F7" w:rsidRDefault="00062497">
            <w:pPr>
              <w:rPr>
                <w:rFonts w:cs="Arial"/>
              </w:rPr>
            </w:pPr>
            <w:r w:rsidRPr="00E246F7">
              <w:rPr>
                <w:rFonts w:cs="Arial"/>
              </w:rPr>
              <w:t xml:space="preserve">2.  </w:t>
            </w:r>
            <w:r w:rsidR="00F4124F">
              <w:rPr>
                <w:rFonts w:cs="Arial"/>
              </w:rPr>
              <w:t>Calculate submarine groundwater inputs/outputs</w:t>
            </w:r>
          </w:p>
        </w:tc>
        <w:tc>
          <w:tcPr>
            <w:tcW w:w="1800" w:type="dxa"/>
          </w:tcPr>
          <w:p w14:paraId="6180F592" w14:textId="068A8E53" w:rsidR="00062497" w:rsidRPr="00E246F7" w:rsidRDefault="00F4124F" w:rsidP="00FE4817">
            <w:pPr>
              <w:rPr>
                <w:rFonts w:cs="Arial"/>
              </w:rPr>
            </w:pPr>
            <w:r>
              <w:rPr>
                <w:rFonts w:cs="Arial"/>
              </w:rPr>
              <w:t>April 2022</w:t>
            </w:r>
          </w:p>
        </w:tc>
      </w:tr>
      <w:tr w:rsidR="00062497" w:rsidRPr="00E246F7" w14:paraId="2BE5B58F" w14:textId="77777777" w:rsidTr="009A49DE">
        <w:tc>
          <w:tcPr>
            <w:tcW w:w="8478" w:type="dxa"/>
          </w:tcPr>
          <w:p w14:paraId="3071CB68" w14:textId="0C82B97B" w:rsidR="00062497" w:rsidRPr="00E246F7" w:rsidRDefault="00062497">
            <w:pPr>
              <w:rPr>
                <w:rFonts w:cs="Arial"/>
              </w:rPr>
            </w:pPr>
            <w:r w:rsidRPr="00E246F7">
              <w:rPr>
                <w:rFonts w:cs="Arial"/>
              </w:rPr>
              <w:t xml:space="preserve">3.  </w:t>
            </w:r>
            <w:r w:rsidR="00F4124F">
              <w:rPr>
                <w:rFonts w:cs="Arial"/>
              </w:rPr>
              <w:t>Compare with traditional budget data.</w:t>
            </w:r>
          </w:p>
        </w:tc>
        <w:tc>
          <w:tcPr>
            <w:tcW w:w="1800" w:type="dxa"/>
          </w:tcPr>
          <w:p w14:paraId="18951F7D" w14:textId="3ADB0357" w:rsidR="00062497" w:rsidRPr="00E246F7" w:rsidRDefault="00F4124F" w:rsidP="00FE4817">
            <w:pPr>
              <w:rPr>
                <w:rFonts w:cs="Arial"/>
              </w:rPr>
            </w:pPr>
            <w:r>
              <w:rPr>
                <w:rFonts w:cs="Arial"/>
              </w:rPr>
              <w:t>June 2022</w:t>
            </w:r>
          </w:p>
        </w:tc>
      </w:tr>
    </w:tbl>
    <w:p w14:paraId="2672FCCD" w14:textId="77777777" w:rsidR="00802804" w:rsidRPr="00E246F7" w:rsidRDefault="00802804" w:rsidP="006E0EFD">
      <w:pPr>
        <w:rPr>
          <w:rFonts w:cs="Arial"/>
          <w:i/>
        </w:rPr>
      </w:pPr>
    </w:p>
    <w:p w14:paraId="0AA0D825" w14:textId="77777777" w:rsidR="00F4124F" w:rsidRDefault="00F4124F" w:rsidP="00F4124F">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790BB09" w14:textId="77777777" w:rsidR="00F4124F" w:rsidRDefault="00F4124F" w:rsidP="00F4124F">
      <w:pPr>
        <w:tabs>
          <w:tab w:val="left" w:pos="540"/>
        </w:tabs>
        <w:autoSpaceDE w:val="0"/>
        <w:autoSpaceDN w:val="0"/>
        <w:adjustRightInd w:val="0"/>
        <w:ind w:left="547" w:hanging="547"/>
        <w:rPr>
          <w:rFonts w:cs="Arial"/>
          <w:b/>
          <w:bCs/>
          <w:color w:val="000000"/>
        </w:rPr>
      </w:pPr>
      <w:r>
        <w:rPr>
          <w:rFonts w:cs="Arial"/>
          <w:b/>
          <w:bCs/>
          <w:color w:val="000000"/>
        </w:rPr>
        <w:t>John A. Downing, Sea Grant College Program, Large Lakes Observatory, and Department of Biology, University of Minnesota (Duluth)</w:t>
      </w:r>
    </w:p>
    <w:p w14:paraId="1E8A3CC5" w14:textId="77777777" w:rsidR="00F4124F" w:rsidRPr="009D6EC8" w:rsidRDefault="00F4124F" w:rsidP="00F4124F">
      <w:pPr>
        <w:rPr>
          <w:rFonts w:cs="Arial"/>
          <w:b/>
        </w:rPr>
      </w:pPr>
    </w:p>
    <w:p w14:paraId="1E8076DA" w14:textId="77777777" w:rsidR="00F4124F" w:rsidRPr="00AF4ECD" w:rsidRDefault="00F4124F" w:rsidP="00F4124F">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15C406B" w14:textId="6D6B43F6" w:rsidR="00F4124F" w:rsidRPr="00F65931" w:rsidRDefault="00F4124F" w:rsidP="00F4124F">
      <w:pPr>
        <w:pStyle w:val="p1"/>
        <w:rPr>
          <w:rFonts w:asciiTheme="minorHAnsi" w:hAnsiTheme="minorHAnsi"/>
          <w:sz w:val="22"/>
          <w:szCs w:val="22"/>
        </w:rPr>
      </w:pPr>
      <w:r w:rsidRPr="00F65931">
        <w:rPr>
          <w:rFonts w:asciiTheme="minorHAnsi" w:hAnsiTheme="minorHAnsi"/>
          <w:sz w:val="22"/>
          <w:szCs w:val="22"/>
        </w:rPr>
        <w:t xml:space="preserve">We expect that the results will substantially alter the way we model and predict shore and coastal effects of alterations in lake water level. Therefore, </w:t>
      </w:r>
      <w:r w:rsidR="00F65931" w:rsidRPr="00F65931">
        <w:rPr>
          <w:rFonts w:asciiTheme="minorHAnsi" w:hAnsiTheme="minorHAnsi"/>
          <w:sz w:val="22"/>
          <w:szCs w:val="22"/>
        </w:rPr>
        <w:t xml:space="preserve">we will </w:t>
      </w:r>
      <w:r w:rsidR="0077265A">
        <w:rPr>
          <w:rFonts w:asciiTheme="minorHAnsi" w:hAnsiTheme="minorHAnsi"/>
          <w:sz w:val="22"/>
          <w:szCs w:val="22"/>
        </w:rPr>
        <w:t>work</w:t>
      </w:r>
      <w:r w:rsidR="00F65931" w:rsidRPr="00F65931">
        <w:rPr>
          <w:rFonts w:asciiTheme="minorHAnsi" w:hAnsiTheme="minorHAnsi"/>
          <w:sz w:val="22"/>
          <w:szCs w:val="22"/>
        </w:rPr>
        <w:t xml:space="preserve"> with NOAA offices including the Great Lakes Environmental Research Lab (GLERL) to use the results to leverage federal funds to perform similar analyses across the Great Lakes. We will work with GLERL to use this research</w:t>
      </w:r>
      <w:r w:rsidR="0077265A">
        <w:rPr>
          <w:rFonts w:asciiTheme="minorHAnsi" w:hAnsiTheme="minorHAnsi"/>
          <w:sz w:val="22"/>
          <w:szCs w:val="22"/>
        </w:rPr>
        <w:t xml:space="preserve"> on Lake Superior</w:t>
      </w:r>
      <w:r w:rsidR="00F65931" w:rsidRPr="00F65931">
        <w:rPr>
          <w:rFonts w:asciiTheme="minorHAnsi" w:hAnsiTheme="minorHAnsi"/>
          <w:sz w:val="22"/>
          <w:szCs w:val="22"/>
        </w:rPr>
        <w:t xml:space="preserve"> to result in updated models that will </w:t>
      </w:r>
      <w:r w:rsidR="00F65931" w:rsidRPr="00E51A6C">
        <w:rPr>
          <w:rFonts w:asciiTheme="minorHAnsi" w:hAnsiTheme="minorHAnsi"/>
          <w:sz w:val="22"/>
          <w:szCs w:val="22"/>
        </w:rPr>
        <w:t xml:space="preserve">allow us to better </w:t>
      </w:r>
      <w:r w:rsidR="0041041B">
        <w:rPr>
          <w:rFonts w:asciiTheme="minorHAnsi" w:hAnsiTheme="minorHAnsi"/>
          <w:sz w:val="22"/>
          <w:szCs w:val="22"/>
        </w:rPr>
        <w:t>forecast</w:t>
      </w:r>
      <w:r w:rsidR="00F65931" w:rsidRPr="00E51A6C">
        <w:rPr>
          <w:rFonts w:asciiTheme="minorHAnsi" w:hAnsiTheme="minorHAnsi"/>
          <w:sz w:val="22"/>
          <w:szCs w:val="22"/>
        </w:rPr>
        <w:t xml:space="preserve"> lake levels and consider options for stabilizing them, so we can compensate for rates of change to preserve environmental and recreational quality on the North Shore of Lake Superior.</w:t>
      </w:r>
    </w:p>
    <w:p w14:paraId="0ED96E5C" w14:textId="31B70659" w:rsidR="002A1AA8" w:rsidRPr="00E51A6C" w:rsidRDefault="002A1AA8" w:rsidP="00F4124F">
      <w:pPr>
        <w:rPr>
          <w:rFonts w:asciiTheme="minorHAnsi" w:hAnsiTheme="minorHAnsi" w:cs="Arial"/>
          <w:iCs/>
        </w:rPr>
      </w:pPr>
    </w:p>
    <w:sectPr w:rsidR="002A1AA8" w:rsidRPr="00E51A6C"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2B1C2E" w15:done="0"/>
  <w15:commentEx w15:paraId="242F1E34" w15:done="0"/>
  <w15:commentEx w15:paraId="3EA68197" w15:done="0"/>
  <w15:commentEx w15:paraId="14C64963" w15:done="0"/>
  <w15:commentEx w15:paraId="15FA120A" w15:done="0"/>
  <w15:commentEx w15:paraId="3592D084" w15:done="0"/>
  <w15:commentEx w15:paraId="077B6FFA" w15:done="0"/>
  <w15:commentEx w15:paraId="7486E209" w15:done="0"/>
  <w15:commentEx w15:paraId="2ADA6535" w15:done="0"/>
  <w15:commentEx w15:paraId="233D53C9" w15:done="0"/>
  <w15:commentEx w15:paraId="5C562B59" w15:done="0"/>
  <w15:commentEx w15:paraId="2F7615BB" w15:done="0"/>
  <w15:commentEx w15:paraId="31861CCD" w15:done="0"/>
  <w15:commentEx w15:paraId="0368CB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A17F0" w14:textId="77777777" w:rsidR="003538DD" w:rsidRDefault="003538DD" w:rsidP="00533120">
      <w:r>
        <w:separator/>
      </w:r>
    </w:p>
  </w:endnote>
  <w:endnote w:type="continuationSeparator" w:id="0">
    <w:p w14:paraId="663E97C6" w14:textId="77777777" w:rsidR="003538DD" w:rsidRDefault="003538D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5B909" w14:textId="77777777" w:rsidR="00B6006B" w:rsidRDefault="00B6006B">
    <w:pPr>
      <w:pStyle w:val="Footer"/>
      <w:jc w:val="center"/>
    </w:pPr>
    <w:r>
      <w:fldChar w:fldCharType="begin"/>
    </w:r>
    <w:r>
      <w:instrText xml:space="preserve"> PAGE   \* MERGEFORMAT </w:instrText>
    </w:r>
    <w:r>
      <w:fldChar w:fldCharType="separate"/>
    </w:r>
    <w:r w:rsidR="00EC6127">
      <w:rPr>
        <w:noProof/>
      </w:rPr>
      <w:t>2</w:t>
    </w:r>
    <w:r>
      <w:fldChar w:fldCharType="end"/>
    </w:r>
  </w:p>
  <w:p w14:paraId="0BE89691" w14:textId="77777777" w:rsidR="00B6006B" w:rsidRDefault="00B6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A4715" w14:textId="77777777" w:rsidR="00B6006B" w:rsidRDefault="00B6006B" w:rsidP="00C72BD9">
    <w:pPr>
      <w:pStyle w:val="Footer"/>
      <w:jc w:val="center"/>
    </w:pPr>
    <w:r>
      <w:fldChar w:fldCharType="begin"/>
    </w:r>
    <w:r>
      <w:instrText xml:space="preserve"> PAGE   \* MERGEFORMAT </w:instrText>
    </w:r>
    <w:r>
      <w:fldChar w:fldCharType="separate"/>
    </w:r>
    <w:r>
      <w:rPr>
        <w:noProof/>
      </w:rPr>
      <w:t>1</w:t>
    </w:r>
    <w:r>
      <w:fldChar w:fldCharType="end"/>
    </w:r>
  </w:p>
  <w:p w14:paraId="4705B27E" w14:textId="77777777" w:rsidR="00B6006B" w:rsidRDefault="00B6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B6F08" w14:textId="77777777" w:rsidR="003538DD" w:rsidRDefault="003538DD" w:rsidP="00533120">
      <w:r>
        <w:separator/>
      </w:r>
    </w:p>
  </w:footnote>
  <w:footnote w:type="continuationSeparator" w:id="0">
    <w:p w14:paraId="212D194E" w14:textId="77777777" w:rsidR="003538DD" w:rsidRDefault="003538D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B6006B" w14:paraId="5B7C3876" w14:textId="77777777" w:rsidTr="00E47145">
      <w:tc>
        <w:tcPr>
          <w:tcW w:w="1278" w:type="dxa"/>
        </w:tcPr>
        <w:p w14:paraId="6B65B44E" w14:textId="77777777" w:rsidR="00B6006B" w:rsidRPr="00EB5831" w:rsidRDefault="00B6006B" w:rsidP="00E47145">
          <w:pPr>
            <w:pStyle w:val="Header"/>
            <w:tabs>
              <w:tab w:val="clear" w:pos="4680"/>
              <w:tab w:val="clear" w:pos="9360"/>
            </w:tabs>
            <w:rPr>
              <w:lang w:val="en-US" w:eastAsia="en-US"/>
            </w:rPr>
          </w:pPr>
          <w:r>
            <w:rPr>
              <w:noProof/>
              <w:lang w:val="en-US" w:eastAsia="en-US"/>
            </w:rPr>
            <w:drawing>
              <wp:inline distT="0" distB="0" distL="0" distR="0" wp14:anchorId="20FBAF10" wp14:editId="7277AC9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7C2FB83" w14:textId="77777777" w:rsidR="00B6006B" w:rsidRPr="00A42E60" w:rsidRDefault="00B6006B" w:rsidP="00EB5831">
          <w:pPr>
            <w:rPr>
              <w:b/>
            </w:rPr>
          </w:pPr>
          <w:r w:rsidRPr="00A42E60">
            <w:rPr>
              <w:b/>
            </w:rPr>
            <w:t>Environment and Natural Resources Trust Fund (ENRTF)</w:t>
          </w:r>
        </w:p>
        <w:p w14:paraId="4E37AF13" w14:textId="0379B019" w:rsidR="00B6006B" w:rsidRPr="00EB5831" w:rsidRDefault="00B6006B" w:rsidP="00EB5831">
          <w:pPr>
            <w:pStyle w:val="Header"/>
            <w:rPr>
              <w:b/>
              <w:lang w:val="en-US" w:eastAsia="en-US"/>
            </w:rPr>
          </w:pPr>
          <w:r>
            <w:rPr>
              <w:b/>
              <w:lang w:val="en-US" w:eastAsia="en-US"/>
            </w:rPr>
            <w:t>20</w:t>
          </w:r>
          <w:r w:rsidR="00494631">
            <w:rPr>
              <w:b/>
              <w:lang w:val="en-US" w:eastAsia="en-US"/>
            </w:rPr>
            <w:t>20</w:t>
          </w:r>
          <w:r w:rsidRPr="00EB5831">
            <w:rPr>
              <w:b/>
              <w:lang w:val="en-US" w:eastAsia="en-US"/>
            </w:rPr>
            <w:t xml:space="preserve"> Main Proposal</w:t>
          </w:r>
        </w:p>
        <w:p w14:paraId="4944479D" w14:textId="06B2D3E3" w:rsidR="00B6006B" w:rsidRPr="00EB5831" w:rsidRDefault="00B6006B">
          <w:pPr>
            <w:pStyle w:val="Header"/>
            <w:rPr>
              <w:lang w:val="en-US" w:eastAsia="en-US"/>
            </w:rPr>
          </w:pPr>
          <w:r w:rsidRPr="00EB5831">
            <w:rPr>
              <w:b/>
              <w:lang w:val="en-US" w:eastAsia="en-US"/>
            </w:rPr>
            <w:t xml:space="preserve">Project Title: </w:t>
          </w:r>
          <w:r w:rsidR="00494631">
            <w:rPr>
              <w:rFonts w:cs="Calibri"/>
              <w:b/>
            </w:rPr>
            <w:t>Role of submarine groundwater altering Lake Superior’s shore</w:t>
          </w:r>
        </w:p>
      </w:tc>
    </w:tr>
  </w:tbl>
  <w:p w14:paraId="478EEC52" w14:textId="77777777" w:rsidR="00B6006B" w:rsidRPr="00A42E60" w:rsidRDefault="00B6006B"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B6006B" w14:paraId="75E8360D" w14:textId="77777777" w:rsidTr="00C660F0">
      <w:tc>
        <w:tcPr>
          <w:tcW w:w="1098" w:type="dxa"/>
        </w:tcPr>
        <w:p w14:paraId="0F9A4AF1" w14:textId="77777777" w:rsidR="00B6006B" w:rsidRPr="00EB5831" w:rsidRDefault="00B6006B" w:rsidP="00C660F0">
          <w:pPr>
            <w:pStyle w:val="Header"/>
            <w:rPr>
              <w:lang w:val="en-US" w:eastAsia="en-US"/>
            </w:rPr>
          </w:pPr>
          <w:r>
            <w:rPr>
              <w:noProof/>
              <w:lang w:val="en-US" w:eastAsia="en-US"/>
            </w:rPr>
            <w:drawing>
              <wp:inline distT="0" distB="0" distL="0" distR="0" wp14:anchorId="7424E409" wp14:editId="464D1CB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D39CBE7" w14:textId="77777777" w:rsidR="00B6006B" w:rsidRPr="00A42E60" w:rsidRDefault="00B6006B" w:rsidP="00C660F0">
          <w:pPr>
            <w:rPr>
              <w:b/>
            </w:rPr>
          </w:pPr>
          <w:r w:rsidRPr="00A42E60">
            <w:rPr>
              <w:b/>
            </w:rPr>
            <w:t>Environment and Natural Resources Trust Fund (ENRTF)</w:t>
          </w:r>
        </w:p>
        <w:p w14:paraId="1D503A48" w14:textId="77777777" w:rsidR="00B6006B" w:rsidRPr="00EB5831" w:rsidRDefault="00B6006B" w:rsidP="00806460">
          <w:pPr>
            <w:pStyle w:val="Header"/>
            <w:rPr>
              <w:b/>
              <w:lang w:val="en-US" w:eastAsia="en-US"/>
            </w:rPr>
          </w:pPr>
          <w:r w:rsidRPr="00EB5831">
            <w:rPr>
              <w:b/>
              <w:lang w:val="en-US" w:eastAsia="en-US"/>
            </w:rPr>
            <w:t>2014 Main Proposal</w:t>
          </w:r>
        </w:p>
        <w:p w14:paraId="29D89C12" w14:textId="77777777" w:rsidR="00B6006B" w:rsidRPr="00EB5831" w:rsidRDefault="00B6006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686E96EB" w14:textId="77777777" w:rsidR="00B6006B" w:rsidRPr="00F96203" w:rsidRDefault="00B6006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1C8"/>
    <w:multiLevelType w:val="hybridMultilevel"/>
    <w:tmpl w:val="47B8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A571D"/>
    <w:multiLevelType w:val="hybridMultilevel"/>
    <w:tmpl w:val="6B4E0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11F2257"/>
    <w:multiLevelType w:val="hybridMultilevel"/>
    <w:tmpl w:val="5852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0"/>
  </w:num>
  <w:num w:numId="12">
    <w:abstractNumId w:val="0"/>
  </w:num>
  <w:num w:numId="13">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A Downing">
    <w15:presenceInfo w15:providerId="None" w15:userId="John A Downing"/>
  </w15:person>
  <w15:person w15:author="Downing, John A [EEOBS]">
    <w15:presenceInfo w15:providerId="None" w15:userId="Downing, John A [EEOB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0E7"/>
    <w:rsid w:val="00020FA1"/>
    <w:rsid w:val="00033BD0"/>
    <w:rsid w:val="0004051B"/>
    <w:rsid w:val="00062497"/>
    <w:rsid w:val="00065366"/>
    <w:rsid w:val="00091CE0"/>
    <w:rsid w:val="000A1163"/>
    <w:rsid w:val="000A640D"/>
    <w:rsid w:val="000A7B20"/>
    <w:rsid w:val="000A7DFB"/>
    <w:rsid w:val="000B34BA"/>
    <w:rsid w:val="000B7C84"/>
    <w:rsid w:val="000C3130"/>
    <w:rsid w:val="000C3EF3"/>
    <w:rsid w:val="000D6F80"/>
    <w:rsid w:val="000D7F31"/>
    <w:rsid w:val="000E2C95"/>
    <w:rsid w:val="00100A34"/>
    <w:rsid w:val="00107495"/>
    <w:rsid w:val="001116A2"/>
    <w:rsid w:val="00135AFD"/>
    <w:rsid w:val="00141AA6"/>
    <w:rsid w:val="0016462B"/>
    <w:rsid w:val="00165716"/>
    <w:rsid w:val="0018005E"/>
    <w:rsid w:val="00183F2D"/>
    <w:rsid w:val="001861EF"/>
    <w:rsid w:val="001B0368"/>
    <w:rsid w:val="001B3C6F"/>
    <w:rsid w:val="001C6D20"/>
    <w:rsid w:val="001E42AC"/>
    <w:rsid w:val="002159DD"/>
    <w:rsid w:val="00217C2A"/>
    <w:rsid w:val="0023053C"/>
    <w:rsid w:val="00233903"/>
    <w:rsid w:val="002414A3"/>
    <w:rsid w:val="00244609"/>
    <w:rsid w:val="00245358"/>
    <w:rsid w:val="00257A4A"/>
    <w:rsid w:val="00270FC7"/>
    <w:rsid w:val="002768C2"/>
    <w:rsid w:val="00284492"/>
    <w:rsid w:val="00284960"/>
    <w:rsid w:val="00290E4E"/>
    <w:rsid w:val="002A1AA8"/>
    <w:rsid w:val="002B469A"/>
    <w:rsid w:val="002D5513"/>
    <w:rsid w:val="00300BE2"/>
    <w:rsid w:val="003205A7"/>
    <w:rsid w:val="003239FE"/>
    <w:rsid w:val="00347E7A"/>
    <w:rsid w:val="00351EA6"/>
    <w:rsid w:val="0035325B"/>
    <w:rsid w:val="003538DD"/>
    <w:rsid w:val="00354888"/>
    <w:rsid w:val="00362890"/>
    <w:rsid w:val="00364F80"/>
    <w:rsid w:val="0037310D"/>
    <w:rsid w:val="00377A74"/>
    <w:rsid w:val="0039481E"/>
    <w:rsid w:val="003C0CC1"/>
    <w:rsid w:val="003C7806"/>
    <w:rsid w:val="003E4AF7"/>
    <w:rsid w:val="003F4EFE"/>
    <w:rsid w:val="0041041B"/>
    <w:rsid w:val="004126D9"/>
    <w:rsid w:val="00414C63"/>
    <w:rsid w:val="00425F10"/>
    <w:rsid w:val="004357AE"/>
    <w:rsid w:val="004401A3"/>
    <w:rsid w:val="00443C42"/>
    <w:rsid w:val="00452853"/>
    <w:rsid w:val="004530F7"/>
    <w:rsid w:val="00454495"/>
    <w:rsid w:val="0046158D"/>
    <w:rsid w:val="0046297A"/>
    <w:rsid w:val="004816BF"/>
    <w:rsid w:val="00482397"/>
    <w:rsid w:val="0049103C"/>
    <w:rsid w:val="00494631"/>
    <w:rsid w:val="004A43B9"/>
    <w:rsid w:val="004A4BE4"/>
    <w:rsid w:val="004A5C6A"/>
    <w:rsid w:val="004E22F3"/>
    <w:rsid w:val="004E3072"/>
    <w:rsid w:val="004E6113"/>
    <w:rsid w:val="004F0F9C"/>
    <w:rsid w:val="004F6BE6"/>
    <w:rsid w:val="00502DA0"/>
    <w:rsid w:val="0050758F"/>
    <w:rsid w:val="00516980"/>
    <w:rsid w:val="00524F54"/>
    <w:rsid w:val="00525CD9"/>
    <w:rsid w:val="00533120"/>
    <w:rsid w:val="00550B29"/>
    <w:rsid w:val="005648A9"/>
    <w:rsid w:val="00571E23"/>
    <w:rsid w:val="005928C4"/>
    <w:rsid w:val="00595862"/>
    <w:rsid w:val="005A1D00"/>
    <w:rsid w:val="005C67CF"/>
    <w:rsid w:val="005E4D88"/>
    <w:rsid w:val="005E5C8A"/>
    <w:rsid w:val="005F0DBA"/>
    <w:rsid w:val="005F1006"/>
    <w:rsid w:val="005F7237"/>
    <w:rsid w:val="00613344"/>
    <w:rsid w:val="00614DF2"/>
    <w:rsid w:val="00622F8F"/>
    <w:rsid w:val="00624AAD"/>
    <w:rsid w:val="00640A9A"/>
    <w:rsid w:val="006477C4"/>
    <w:rsid w:val="006562F0"/>
    <w:rsid w:val="00656619"/>
    <w:rsid w:val="0066403B"/>
    <w:rsid w:val="006657FF"/>
    <w:rsid w:val="00670D68"/>
    <w:rsid w:val="00685690"/>
    <w:rsid w:val="00686B53"/>
    <w:rsid w:val="00692B1E"/>
    <w:rsid w:val="006C0090"/>
    <w:rsid w:val="006D78B5"/>
    <w:rsid w:val="006E0EFD"/>
    <w:rsid w:val="006E7479"/>
    <w:rsid w:val="006F454D"/>
    <w:rsid w:val="006F7F24"/>
    <w:rsid w:val="00721661"/>
    <w:rsid w:val="00731A65"/>
    <w:rsid w:val="00754D9C"/>
    <w:rsid w:val="00762DC3"/>
    <w:rsid w:val="0077010B"/>
    <w:rsid w:val="00770990"/>
    <w:rsid w:val="0077265A"/>
    <w:rsid w:val="007950D5"/>
    <w:rsid w:val="007B284F"/>
    <w:rsid w:val="007B3535"/>
    <w:rsid w:val="007B782A"/>
    <w:rsid w:val="007C41CD"/>
    <w:rsid w:val="007F18A3"/>
    <w:rsid w:val="007F5A1F"/>
    <w:rsid w:val="00802804"/>
    <w:rsid w:val="008063E0"/>
    <w:rsid w:val="00806460"/>
    <w:rsid w:val="008076FB"/>
    <w:rsid w:val="00822070"/>
    <w:rsid w:val="008350FB"/>
    <w:rsid w:val="00864D8C"/>
    <w:rsid w:val="008A088E"/>
    <w:rsid w:val="008A32D7"/>
    <w:rsid w:val="008A4498"/>
    <w:rsid w:val="008C7EED"/>
    <w:rsid w:val="008D2242"/>
    <w:rsid w:val="00920BD7"/>
    <w:rsid w:val="00923653"/>
    <w:rsid w:val="00924877"/>
    <w:rsid w:val="00925854"/>
    <w:rsid w:val="00947440"/>
    <w:rsid w:val="009541C4"/>
    <w:rsid w:val="00956B5B"/>
    <w:rsid w:val="00975C07"/>
    <w:rsid w:val="009A49DE"/>
    <w:rsid w:val="009B1C82"/>
    <w:rsid w:val="009B6749"/>
    <w:rsid w:val="009C33E6"/>
    <w:rsid w:val="009C4875"/>
    <w:rsid w:val="009D0E57"/>
    <w:rsid w:val="009D6EC8"/>
    <w:rsid w:val="009E235B"/>
    <w:rsid w:val="00A03E0A"/>
    <w:rsid w:val="00A06DFB"/>
    <w:rsid w:val="00A13F26"/>
    <w:rsid w:val="00A339F3"/>
    <w:rsid w:val="00A42E60"/>
    <w:rsid w:val="00A433EC"/>
    <w:rsid w:val="00A45A41"/>
    <w:rsid w:val="00A50E52"/>
    <w:rsid w:val="00A7257F"/>
    <w:rsid w:val="00A73B75"/>
    <w:rsid w:val="00A8080D"/>
    <w:rsid w:val="00AC2C07"/>
    <w:rsid w:val="00AF0EB4"/>
    <w:rsid w:val="00AF5D6C"/>
    <w:rsid w:val="00B07E85"/>
    <w:rsid w:val="00B1242B"/>
    <w:rsid w:val="00B26331"/>
    <w:rsid w:val="00B435CD"/>
    <w:rsid w:val="00B5772E"/>
    <w:rsid w:val="00B6006B"/>
    <w:rsid w:val="00B71CC8"/>
    <w:rsid w:val="00B728BF"/>
    <w:rsid w:val="00B81D0B"/>
    <w:rsid w:val="00B8369A"/>
    <w:rsid w:val="00B86A22"/>
    <w:rsid w:val="00B952CC"/>
    <w:rsid w:val="00BA63DC"/>
    <w:rsid w:val="00BC28A6"/>
    <w:rsid w:val="00BC7571"/>
    <w:rsid w:val="00BF4689"/>
    <w:rsid w:val="00BF5219"/>
    <w:rsid w:val="00C047CC"/>
    <w:rsid w:val="00C660F0"/>
    <w:rsid w:val="00C72BD9"/>
    <w:rsid w:val="00C82CD3"/>
    <w:rsid w:val="00C85E92"/>
    <w:rsid w:val="00C903CD"/>
    <w:rsid w:val="00C952E4"/>
    <w:rsid w:val="00CB652D"/>
    <w:rsid w:val="00CC0CAC"/>
    <w:rsid w:val="00CC1C4E"/>
    <w:rsid w:val="00CC786B"/>
    <w:rsid w:val="00D02E23"/>
    <w:rsid w:val="00D121DD"/>
    <w:rsid w:val="00D25619"/>
    <w:rsid w:val="00D529FE"/>
    <w:rsid w:val="00D916A5"/>
    <w:rsid w:val="00DC177A"/>
    <w:rsid w:val="00DD274C"/>
    <w:rsid w:val="00E246F7"/>
    <w:rsid w:val="00E25D5A"/>
    <w:rsid w:val="00E40766"/>
    <w:rsid w:val="00E47145"/>
    <w:rsid w:val="00E51A6C"/>
    <w:rsid w:val="00E5279E"/>
    <w:rsid w:val="00E619C4"/>
    <w:rsid w:val="00E739A3"/>
    <w:rsid w:val="00E76D57"/>
    <w:rsid w:val="00EB5831"/>
    <w:rsid w:val="00EC1C9D"/>
    <w:rsid w:val="00EC6127"/>
    <w:rsid w:val="00EE0B98"/>
    <w:rsid w:val="00EF0EF2"/>
    <w:rsid w:val="00EF5653"/>
    <w:rsid w:val="00EF6997"/>
    <w:rsid w:val="00F075B2"/>
    <w:rsid w:val="00F158F7"/>
    <w:rsid w:val="00F4124F"/>
    <w:rsid w:val="00F42507"/>
    <w:rsid w:val="00F65931"/>
    <w:rsid w:val="00F70DE4"/>
    <w:rsid w:val="00F81DA3"/>
    <w:rsid w:val="00F92864"/>
    <w:rsid w:val="00F96203"/>
    <w:rsid w:val="00F97C94"/>
    <w:rsid w:val="00FC5395"/>
    <w:rsid w:val="00FC5646"/>
    <w:rsid w:val="00FE4817"/>
    <w:rsid w:val="00FE597E"/>
    <w:rsid w:val="00FF1689"/>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AC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Hyperlink">
    <w:name w:val="Hyperlink"/>
    <w:basedOn w:val="DefaultParagraphFont"/>
    <w:uiPriority w:val="99"/>
    <w:unhideWhenUsed/>
    <w:rsid w:val="00E25D5A"/>
    <w:rPr>
      <w:color w:val="0000FF" w:themeColor="hyperlink"/>
      <w:u w:val="single"/>
    </w:rPr>
  </w:style>
  <w:style w:type="paragraph" w:customStyle="1" w:styleId="EndNoteBibliographyTitle">
    <w:name w:val="EndNote Bibliography Title"/>
    <w:basedOn w:val="Normal"/>
    <w:rsid w:val="00EC1C9D"/>
    <w:pPr>
      <w:jc w:val="center"/>
    </w:pPr>
    <w:rPr>
      <w:rFonts w:eastAsiaTheme="minorHAnsi" w:cstheme="minorBidi"/>
      <w:szCs w:val="24"/>
    </w:rPr>
  </w:style>
  <w:style w:type="paragraph" w:customStyle="1" w:styleId="EndNoteBibliography">
    <w:name w:val="EndNote Bibliography"/>
    <w:basedOn w:val="Normal"/>
    <w:rsid w:val="00EC1C9D"/>
    <w:rPr>
      <w:rFonts w:eastAsiaTheme="minorHAnsi" w:cstheme="minorBidi"/>
      <w:szCs w:val="24"/>
    </w:rPr>
  </w:style>
  <w:style w:type="character" w:styleId="CommentReference">
    <w:name w:val="annotation reference"/>
    <w:basedOn w:val="DefaultParagraphFont"/>
    <w:uiPriority w:val="99"/>
    <w:semiHidden/>
    <w:unhideWhenUsed/>
    <w:rsid w:val="009B1C82"/>
    <w:rPr>
      <w:sz w:val="16"/>
      <w:szCs w:val="16"/>
    </w:rPr>
  </w:style>
  <w:style w:type="paragraph" w:styleId="CommentText">
    <w:name w:val="annotation text"/>
    <w:basedOn w:val="Normal"/>
    <w:link w:val="CommentTextChar"/>
    <w:uiPriority w:val="99"/>
    <w:semiHidden/>
    <w:unhideWhenUsed/>
    <w:rsid w:val="009B1C82"/>
    <w:rPr>
      <w:sz w:val="20"/>
      <w:szCs w:val="20"/>
    </w:rPr>
  </w:style>
  <w:style w:type="character" w:customStyle="1" w:styleId="CommentTextChar">
    <w:name w:val="Comment Text Char"/>
    <w:basedOn w:val="DefaultParagraphFont"/>
    <w:link w:val="CommentText"/>
    <w:uiPriority w:val="99"/>
    <w:semiHidden/>
    <w:rsid w:val="009B1C82"/>
  </w:style>
  <w:style w:type="paragraph" w:styleId="CommentSubject">
    <w:name w:val="annotation subject"/>
    <w:basedOn w:val="CommentText"/>
    <w:next w:val="CommentText"/>
    <w:link w:val="CommentSubjectChar"/>
    <w:uiPriority w:val="99"/>
    <w:semiHidden/>
    <w:unhideWhenUsed/>
    <w:rsid w:val="009B1C82"/>
    <w:rPr>
      <w:b/>
      <w:bCs/>
    </w:rPr>
  </w:style>
  <w:style w:type="character" w:customStyle="1" w:styleId="CommentSubjectChar">
    <w:name w:val="Comment Subject Char"/>
    <w:basedOn w:val="CommentTextChar"/>
    <w:link w:val="CommentSubject"/>
    <w:uiPriority w:val="99"/>
    <w:semiHidden/>
    <w:rsid w:val="009B1C82"/>
    <w:rPr>
      <w:b/>
      <w:bCs/>
    </w:rPr>
  </w:style>
  <w:style w:type="paragraph" w:customStyle="1" w:styleId="p1">
    <w:name w:val="p1"/>
    <w:basedOn w:val="Normal"/>
    <w:rsid w:val="00F4124F"/>
    <w:rPr>
      <w:rFonts w:ascii="Helvetica" w:hAnsi="Helvetic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Hyperlink">
    <w:name w:val="Hyperlink"/>
    <w:basedOn w:val="DefaultParagraphFont"/>
    <w:uiPriority w:val="99"/>
    <w:unhideWhenUsed/>
    <w:rsid w:val="00E25D5A"/>
    <w:rPr>
      <w:color w:val="0000FF" w:themeColor="hyperlink"/>
      <w:u w:val="single"/>
    </w:rPr>
  </w:style>
  <w:style w:type="paragraph" w:customStyle="1" w:styleId="EndNoteBibliographyTitle">
    <w:name w:val="EndNote Bibliography Title"/>
    <w:basedOn w:val="Normal"/>
    <w:rsid w:val="00EC1C9D"/>
    <w:pPr>
      <w:jc w:val="center"/>
    </w:pPr>
    <w:rPr>
      <w:rFonts w:eastAsiaTheme="minorHAnsi" w:cstheme="minorBidi"/>
      <w:szCs w:val="24"/>
    </w:rPr>
  </w:style>
  <w:style w:type="paragraph" w:customStyle="1" w:styleId="EndNoteBibliography">
    <w:name w:val="EndNote Bibliography"/>
    <w:basedOn w:val="Normal"/>
    <w:rsid w:val="00EC1C9D"/>
    <w:rPr>
      <w:rFonts w:eastAsiaTheme="minorHAnsi" w:cstheme="minorBidi"/>
      <w:szCs w:val="24"/>
    </w:rPr>
  </w:style>
  <w:style w:type="character" w:styleId="CommentReference">
    <w:name w:val="annotation reference"/>
    <w:basedOn w:val="DefaultParagraphFont"/>
    <w:uiPriority w:val="99"/>
    <w:semiHidden/>
    <w:unhideWhenUsed/>
    <w:rsid w:val="009B1C82"/>
    <w:rPr>
      <w:sz w:val="16"/>
      <w:szCs w:val="16"/>
    </w:rPr>
  </w:style>
  <w:style w:type="paragraph" w:styleId="CommentText">
    <w:name w:val="annotation text"/>
    <w:basedOn w:val="Normal"/>
    <w:link w:val="CommentTextChar"/>
    <w:uiPriority w:val="99"/>
    <w:semiHidden/>
    <w:unhideWhenUsed/>
    <w:rsid w:val="009B1C82"/>
    <w:rPr>
      <w:sz w:val="20"/>
      <w:szCs w:val="20"/>
    </w:rPr>
  </w:style>
  <w:style w:type="character" w:customStyle="1" w:styleId="CommentTextChar">
    <w:name w:val="Comment Text Char"/>
    <w:basedOn w:val="DefaultParagraphFont"/>
    <w:link w:val="CommentText"/>
    <w:uiPriority w:val="99"/>
    <w:semiHidden/>
    <w:rsid w:val="009B1C82"/>
  </w:style>
  <w:style w:type="paragraph" w:styleId="CommentSubject">
    <w:name w:val="annotation subject"/>
    <w:basedOn w:val="CommentText"/>
    <w:next w:val="CommentText"/>
    <w:link w:val="CommentSubjectChar"/>
    <w:uiPriority w:val="99"/>
    <w:semiHidden/>
    <w:unhideWhenUsed/>
    <w:rsid w:val="009B1C82"/>
    <w:rPr>
      <w:b/>
      <w:bCs/>
    </w:rPr>
  </w:style>
  <w:style w:type="character" w:customStyle="1" w:styleId="CommentSubjectChar">
    <w:name w:val="Comment Subject Char"/>
    <w:basedOn w:val="CommentTextChar"/>
    <w:link w:val="CommentSubject"/>
    <w:uiPriority w:val="99"/>
    <w:semiHidden/>
    <w:rsid w:val="009B1C82"/>
    <w:rPr>
      <w:b/>
      <w:bCs/>
    </w:rPr>
  </w:style>
  <w:style w:type="paragraph" w:customStyle="1" w:styleId="p1">
    <w:name w:val="p1"/>
    <w:basedOn w:val="Normal"/>
    <w:rsid w:val="00F4124F"/>
    <w:rPr>
      <w:rFonts w:ascii="Helvetica"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860</Words>
  <Characters>5418</Characters>
  <Application>Microsoft Office Word</Application>
  <DocSecurity>0</DocSecurity>
  <Lines>95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Elizabeth J Rumsey</cp:lastModifiedBy>
  <cp:revision>5</cp:revision>
  <cp:lastPrinted>2019-04-10T20:27:00Z</cp:lastPrinted>
  <dcterms:created xsi:type="dcterms:W3CDTF">2019-04-13T18:38:00Z</dcterms:created>
  <dcterms:modified xsi:type="dcterms:W3CDTF">2019-04-13T19:53:00Z</dcterms:modified>
</cp:coreProperties>
</file>