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FF336" w14:textId="77777777" w:rsidR="002D3180" w:rsidRPr="002E4545" w:rsidRDefault="002D3180" w:rsidP="002E4545">
      <w:pPr>
        <w:pStyle w:val="Standard"/>
        <w:jc w:val="center"/>
        <w:rPr>
          <w:rFonts w:cs="Arial"/>
          <w:i/>
        </w:rPr>
      </w:pPr>
    </w:p>
    <w:p w14:paraId="2D3A5F3D" w14:textId="55356426" w:rsidR="002D3180" w:rsidRPr="002E4545" w:rsidRDefault="005B0DB1" w:rsidP="002E4545">
      <w:pPr>
        <w:pStyle w:val="Standard"/>
        <w:rPr>
          <w:rFonts w:cs="Arial"/>
          <w:b/>
        </w:rPr>
      </w:pPr>
      <w:r w:rsidRPr="002E4545">
        <w:rPr>
          <w:rFonts w:cs="Arial"/>
          <w:b/>
        </w:rPr>
        <w:t xml:space="preserve">PROJECT TITLE: </w:t>
      </w:r>
      <w:r w:rsidR="00AF7318" w:rsidRPr="002E4545">
        <w:rPr>
          <w:rFonts w:cs="Arial"/>
          <w:b/>
        </w:rPr>
        <w:t>Measuring mussel habitat suitability in the Cannon River</w:t>
      </w:r>
    </w:p>
    <w:p w14:paraId="33647AC8" w14:textId="77777777" w:rsidR="002D3180" w:rsidRPr="002E4545" w:rsidRDefault="005B0DB1" w:rsidP="002E4545">
      <w:pPr>
        <w:pStyle w:val="Standard"/>
      </w:pPr>
      <w:r w:rsidRPr="002E4545">
        <w:rPr>
          <w:rFonts w:cs="Arial"/>
          <w:b/>
        </w:rPr>
        <w:t>I. PROJECT STATEMENT</w:t>
      </w:r>
    </w:p>
    <w:p w14:paraId="612680F2" w14:textId="0FDFA0E3" w:rsidR="002D3180" w:rsidRPr="002E4545" w:rsidRDefault="005B0DB1" w:rsidP="002E4545">
      <w:pPr>
        <w:pStyle w:val="Standard"/>
      </w:pPr>
      <w:r w:rsidRPr="002E4545">
        <w:rPr>
          <w:rFonts w:cs="Arial"/>
        </w:rPr>
        <w:t xml:space="preserve">Freshwater mussels are the most imperiled group of species in North America, but the direct causes of their decline have been difficult to identify. Human land-use has been implicated in the loss of mussels, but </w:t>
      </w:r>
      <w:r w:rsidR="00C877CE">
        <w:rPr>
          <w:rFonts w:cs="Arial"/>
        </w:rPr>
        <w:t xml:space="preserve">many competing hypotheses exist: </w:t>
      </w:r>
      <w:r w:rsidRPr="002E4545">
        <w:rPr>
          <w:rFonts w:cs="Arial"/>
        </w:rPr>
        <w:t>loss of habitat, amplified streamflows, increased sediment supply, and increased nutrient loading</w:t>
      </w:r>
      <w:r w:rsidR="000C3A0B">
        <w:rPr>
          <w:rFonts w:cs="Arial"/>
        </w:rPr>
        <w:t>, among others</w:t>
      </w:r>
      <w:r w:rsidRPr="002E4545">
        <w:rPr>
          <w:rFonts w:cs="Arial"/>
        </w:rPr>
        <w:t xml:space="preserve">. </w:t>
      </w:r>
      <w:r w:rsidRPr="002E4545">
        <w:t>The Cannon River in southern Minnesota is home to 17 species of mussel (5 threatened, 4 of special concern) and has experienced many of the environmental problems that negatively impact mussel populations. Additionally, the Cannon has long-term mussel data</w:t>
      </w:r>
      <w:r w:rsidR="00D950D2" w:rsidRPr="002E4545">
        <w:t xml:space="preserve"> collected by Minnesota DNR</w:t>
      </w:r>
      <w:r w:rsidRPr="002E4545">
        <w:t xml:space="preserve"> (dating to 1987), so it is an ideal location to study the relation of mussel populations, habitat, and environmental condition</w:t>
      </w:r>
      <w:r w:rsidR="002E3D61">
        <w:t>s through field data collection</w:t>
      </w:r>
      <w:r w:rsidR="00A647D3">
        <w:t xml:space="preserve"> and</w:t>
      </w:r>
      <w:r w:rsidR="00EB4BCB">
        <w:t xml:space="preserve"> statistical and </w:t>
      </w:r>
      <w:r w:rsidR="00ED3AB9">
        <w:t>h</w:t>
      </w:r>
      <w:r w:rsidR="001E333B">
        <w:t>ydrodynamic</w:t>
      </w:r>
      <w:r w:rsidR="00ED3AB9">
        <w:t xml:space="preserve"> </w:t>
      </w:r>
      <w:r w:rsidR="00EB4BCB">
        <w:t xml:space="preserve">modeling. </w:t>
      </w:r>
    </w:p>
    <w:p w14:paraId="1D2DBFC6" w14:textId="77777777" w:rsidR="002D3180" w:rsidRPr="002E4545" w:rsidRDefault="002D3180" w:rsidP="002E4545">
      <w:pPr>
        <w:pStyle w:val="Standard"/>
        <w:rPr>
          <w:rFonts w:cs="Arial"/>
        </w:rPr>
      </w:pPr>
    </w:p>
    <w:p w14:paraId="7F22CC11" w14:textId="59682125" w:rsidR="002D3180" w:rsidRPr="002E4545" w:rsidRDefault="0077161C" w:rsidP="002E4545">
      <w:pPr>
        <w:pStyle w:val="Standard"/>
      </w:pPr>
      <w:r w:rsidRPr="002E4545">
        <w:rPr>
          <w:rFonts w:cs="Arial"/>
        </w:rPr>
        <w:t>We have two</w:t>
      </w:r>
      <w:r w:rsidR="005B0DB1" w:rsidRPr="002E4545">
        <w:rPr>
          <w:rFonts w:cs="Arial"/>
        </w:rPr>
        <w:t xml:space="preserve"> primary goals in this study:</w:t>
      </w:r>
    </w:p>
    <w:p w14:paraId="76B9547F" w14:textId="25BA71F1" w:rsidR="002D3180" w:rsidRPr="002E4545" w:rsidRDefault="005B0DB1" w:rsidP="002E4545">
      <w:pPr>
        <w:pStyle w:val="Standard"/>
      </w:pPr>
      <w:r w:rsidRPr="002E4545">
        <w:rPr>
          <w:rFonts w:cs="Arial"/>
        </w:rPr>
        <w:t xml:space="preserve">1. </w:t>
      </w:r>
      <w:r w:rsidR="001E333B">
        <w:rPr>
          <w:rFonts w:cs="Arial"/>
          <w:i/>
        </w:rPr>
        <w:t>Measure the hydrodynami</w:t>
      </w:r>
      <w:r w:rsidRPr="002E4545">
        <w:rPr>
          <w:rFonts w:cs="Arial"/>
          <w:i/>
        </w:rPr>
        <w:t>c and environmental characteristics of known mussel habitat</w:t>
      </w:r>
    </w:p>
    <w:p w14:paraId="3EEB91BC" w14:textId="1B8C4B13" w:rsidR="002D3180" w:rsidRPr="002E4545" w:rsidRDefault="005B0DB1" w:rsidP="002E4545">
      <w:pPr>
        <w:pStyle w:val="Standard"/>
      </w:pPr>
      <w:r w:rsidRPr="002E4545">
        <w:rPr>
          <w:rFonts w:cs="Arial"/>
        </w:rPr>
        <w:t>We will conduct field work at known mussel sites to measure a large number of channel and environmental attributes</w:t>
      </w:r>
      <w:r w:rsidR="005F1EF4" w:rsidRPr="002E4545">
        <w:rPr>
          <w:rFonts w:cs="Arial"/>
        </w:rPr>
        <w:t xml:space="preserve">, including sediment transport, </w:t>
      </w:r>
      <w:r w:rsidR="0037556E" w:rsidRPr="002E4545">
        <w:rPr>
          <w:rFonts w:cs="Arial"/>
        </w:rPr>
        <w:t xml:space="preserve">channel geometry, </w:t>
      </w:r>
      <w:r w:rsidR="005F1EF4" w:rsidRPr="002E4545">
        <w:rPr>
          <w:rFonts w:cs="Arial"/>
        </w:rPr>
        <w:t>and water quality</w:t>
      </w:r>
      <w:r w:rsidRPr="002E4545">
        <w:rPr>
          <w:rFonts w:cs="Arial"/>
        </w:rPr>
        <w:t>.</w:t>
      </w:r>
      <w:r w:rsidR="001D1E70" w:rsidRPr="002E4545">
        <w:rPr>
          <w:rFonts w:cs="Arial"/>
        </w:rPr>
        <w:t xml:space="preserve"> All these characteristics are known to impact mussel populations</w:t>
      </w:r>
      <w:r w:rsidR="0059716A" w:rsidRPr="002E4545">
        <w:rPr>
          <w:rFonts w:cs="Arial"/>
        </w:rPr>
        <w:t>.</w:t>
      </w:r>
      <w:r w:rsidRPr="002E4545">
        <w:rPr>
          <w:rFonts w:cs="Arial"/>
        </w:rPr>
        <w:t xml:space="preserve"> In addition, we will develop hydr</w:t>
      </w:r>
      <w:r w:rsidR="00EF7418">
        <w:rPr>
          <w:rFonts w:cs="Arial"/>
        </w:rPr>
        <w:t>odynami</w:t>
      </w:r>
      <w:r w:rsidRPr="002E4545">
        <w:rPr>
          <w:rFonts w:cs="Arial"/>
        </w:rPr>
        <w:t xml:space="preserve">c models at known mussel sites. These models predict velocity and bed stability at a variety of flows and have been successfully coupled with mussel data in other rivers. </w:t>
      </w:r>
    </w:p>
    <w:p w14:paraId="6E42AE0A" w14:textId="77777777" w:rsidR="002D3180" w:rsidRPr="002E4545" w:rsidRDefault="002D3180" w:rsidP="002E4545">
      <w:pPr>
        <w:pStyle w:val="Standard"/>
        <w:rPr>
          <w:rFonts w:cs="Arial"/>
        </w:rPr>
      </w:pPr>
    </w:p>
    <w:p w14:paraId="2EB82298" w14:textId="420225D8" w:rsidR="004209E3" w:rsidRPr="002E4545" w:rsidRDefault="00AC438A" w:rsidP="002E4545">
      <w:pPr>
        <w:pStyle w:val="Standard"/>
      </w:pPr>
      <w:r w:rsidRPr="002E4545">
        <w:rPr>
          <w:rFonts w:cs="Arial"/>
        </w:rPr>
        <w:t>2</w:t>
      </w:r>
      <w:r w:rsidR="004209E3" w:rsidRPr="002E4545">
        <w:rPr>
          <w:rFonts w:cs="Arial"/>
        </w:rPr>
        <w:t xml:space="preserve">. </w:t>
      </w:r>
      <w:r w:rsidR="004209E3" w:rsidRPr="002E4545">
        <w:rPr>
          <w:rFonts w:cs="Arial"/>
          <w:i/>
        </w:rPr>
        <w:t xml:space="preserve">Identify </w:t>
      </w:r>
      <w:r w:rsidR="00F9721E" w:rsidRPr="002E4545">
        <w:rPr>
          <w:rFonts w:cs="Arial"/>
          <w:i/>
        </w:rPr>
        <w:t xml:space="preserve">suitable </w:t>
      </w:r>
      <w:r w:rsidR="00891437" w:rsidRPr="002E4545">
        <w:rPr>
          <w:rFonts w:cs="Arial"/>
          <w:i/>
        </w:rPr>
        <w:t xml:space="preserve">mussel </w:t>
      </w:r>
      <w:r w:rsidR="00F9721E" w:rsidRPr="002E4545">
        <w:rPr>
          <w:rFonts w:cs="Arial"/>
          <w:i/>
        </w:rPr>
        <w:t xml:space="preserve">habitat </w:t>
      </w:r>
      <w:r w:rsidR="00440545" w:rsidRPr="002E4545">
        <w:rPr>
          <w:rFonts w:cs="Arial"/>
          <w:i/>
        </w:rPr>
        <w:t xml:space="preserve">and </w:t>
      </w:r>
      <w:r w:rsidR="001B4C71" w:rsidRPr="002E4545">
        <w:rPr>
          <w:rFonts w:cs="Arial"/>
          <w:i/>
        </w:rPr>
        <w:t>identify areas</w:t>
      </w:r>
      <w:r w:rsidR="004209E3" w:rsidRPr="002E4545">
        <w:rPr>
          <w:rFonts w:cs="Arial"/>
          <w:i/>
        </w:rPr>
        <w:t xml:space="preserve"> for habitat restoration</w:t>
      </w:r>
    </w:p>
    <w:p w14:paraId="6913FF8D" w14:textId="21168CCD" w:rsidR="004209E3" w:rsidRPr="002E4545" w:rsidRDefault="004B4527" w:rsidP="002E4545">
      <w:pPr>
        <w:pStyle w:val="Standard"/>
      </w:pPr>
      <w:r w:rsidRPr="002E4545">
        <w:rPr>
          <w:rFonts w:cs="Arial"/>
        </w:rPr>
        <w:t xml:space="preserve">We will </w:t>
      </w:r>
      <w:r w:rsidR="00446BFF" w:rsidRPr="002E4545">
        <w:rPr>
          <w:rFonts w:cs="Arial"/>
        </w:rPr>
        <w:t xml:space="preserve">identify suitable mussel habitat </w:t>
      </w:r>
      <w:r w:rsidR="00D9586D" w:rsidRPr="002E4545">
        <w:rPr>
          <w:rFonts w:cs="Arial"/>
        </w:rPr>
        <w:t xml:space="preserve">by </w:t>
      </w:r>
      <w:r w:rsidRPr="002E4545">
        <w:rPr>
          <w:rFonts w:cs="Arial"/>
        </w:rPr>
        <w:t>pair</w:t>
      </w:r>
      <w:r w:rsidR="00D9586D" w:rsidRPr="002E4545">
        <w:rPr>
          <w:rFonts w:cs="Arial"/>
        </w:rPr>
        <w:t>ing</w:t>
      </w:r>
      <w:r w:rsidRPr="002E4545">
        <w:rPr>
          <w:rFonts w:cs="Arial"/>
        </w:rPr>
        <w:t xml:space="preserve"> existing</w:t>
      </w:r>
      <w:r w:rsidR="007570C9" w:rsidRPr="002E4545">
        <w:rPr>
          <w:rFonts w:cs="Arial"/>
        </w:rPr>
        <w:t xml:space="preserve"> DNR</w:t>
      </w:r>
      <w:r w:rsidR="006F26E1" w:rsidRPr="002E4545">
        <w:rPr>
          <w:rFonts w:cs="Arial"/>
        </w:rPr>
        <w:t xml:space="preserve"> mussel</w:t>
      </w:r>
      <w:r w:rsidRPr="002E4545">
        <w:rPr>
          <w:rFonts w:cs="Arial"/>
        </w:rPr>
        <w:t xml:space="preserve"> data with </w:t>
      </w:r>
      <w:r w:rsidR="00051F60" w:rsidRPr="002E4545">
        <w:rPr>
          <w:rFonts w:cs="Arial"/>
        </w:rPr>
        <w:t>our hy</w:t>
      </w:r>
      <w:r w:rsidR="00440584">
        <w:rPr>
          <w:rFonts w:cs="Arial"/>
        </w:rPr>
        <w:t>drodynami</w:t>
      </w:r>
      <w:r w:rsidR="00051F60" w:rsidRPr="002E4545">
        <w:rPr>
          <w:rFonts w:cs="Arial"/>
        </w:rPr>
        <w:t>c models and environmental data</w:t>
      </w:r>
      <w:r w:rsidR="00394CC3" w:rsidRPr="002E4545">
        <w:rPr>
          <w:rFonts w:cs="Arial"/>
        </w:rPr>
        <w:t xml:space="preserve">. </w:t>
      </w:r>
      <w:r w:rsidR="002E6C06" w:rsidRPr="002E4545">
        <w:rPr>
          <w:rFonts w:cs="Arial"/>
        </w:rPr>
        <w:t xml:space="preserve">We will develop statistical models that </w:t>
      </w:r>
      <w:r w:rsidR="00D41E2C">
        <w:rPr>
          <w:rFonts w:cs="Arial"/>
        </w:rPr>
        <w:t>quantify</w:t>
      </w:r>
      <w:r w:rsidR="002E6C06" w:rsidRPr="002E4545">
        <w:rPr>
          <w:rFonts w:cs="Arial"/>
        </w:rPr>
        <w:t xml:space="preserve"> links between physical characteristics </w:t>
      </w:r>
      <w:r w:rsidR="006F1631" w:rsidRPr="002E4545">
        <w:rPr>
          <w:rFonts w:cs="Arial"/>
        </w:rPr>
        <w:t xml:space="preserve">and </w:t>
      </w:r>
      <w:proofErr w:type="gramStart"/>
      <w:r w:rsidR="006F1631" w:rsidRPr="002E4545">
        <w:rPr>
          <w:rFonts w:cs="Arial"/>
        </w:rPr>
        <w:t>mussel</w:t>
      </w:r>
      <w:proofErr w:type="gramEnd"/>
      <w:r w:rsidR="006F1631" w:rsidRPr="002E4545">
        <w:rPr>
          <w:rFonts w:cs="Arial"/>
        </w:rPr>
        <w:t xml:space="preserve"> populations</w:t>
      </w:r>
      <w:r w:rsidR="001B58A3">
        <w:rPr>
          <w:rFonts w:cs="Arial"/>
        </w:rPr>
        <w:t xml:space="preserve">. </w:t>
      </w:r>
      <w:r w:rsidR="00A031E1" w:rsidRPr="002E4545">
        <w:rPr>
          <w:rFonts w:cs="Arial"/>
        </w:rPr>
        <w:t xml:space="preserve">Based on these </w:t>
      </w:r>
      <w:r w:rsidR="000C126F">
        <w:rPr>
          <w:rFonts w:cs="Arial"/>
        </w:rPr>
        <w:t>model</w:t>
      </w:r>
      <w:r w:rsidR="00A031E1" w:rsidRPr="002E4545">
        <w:rPr>
          <w:rFonts w:cs="Arial"/>
        </w:rPr>
        <w:t>s</w:t>
      </w:r>
      <w:r w:rsidR="00EE54CB" w:rsidRPr="002E4545">
        <w:rPr>
          <w:rFonts w:cs="Arial"/>
        </w:rPr>
        <w:t>,</w:t>
      </w:r>
      <w:r w:rsidR="00A031E1" w:rsidRPr="002E4545">
        <w:rPr>
          <w:rFonts w:cs="Arial"/>
        </w:rPr>
        <w:t xml:space="preserve"> </w:t>
      </w:r>
      <w:r w:rsidR="004209E3" w:rsidRPr="002E4545">
        <w:rPr>
          <w:rFonts w:cs="Arial"/>
        </w:rPr>
        <w:t>we will cre</w:t>
      </w:r>
      <w:r w:rsidR="0009617F" w:rsidRPr="002E4545">
        <w:rPr>
          <w:rFonts w:cs="Arial"/>
        </w:rPr>
        <w:t>ate maps of habitat</w:t>
      </w:r>
      <w:r w:rsidR="00AB3D5A" w:rsidRPr="002E4545">
        <w:rPr>
          <w:rFonts w:cs="Arial"/>
        </w:rPr>
        <w:t xml:space="preserve"> suitability</w:t>
      </w:r>
      <w:r w:rsidR="0009617F" w:rsidRPr="002E4545">
        <w:rPr>
          <w:rFonts w:cs="Arial"/>
        </w:rPr>
        <w:t xml:space="preserve"> throughout</w:t>
      </w:r>
      <w:r w:rsidR="004209E3" w:rsidRPr="002E4545">
        <w:rPr>
          <w:rFonts w:cs="Arial"/>
        </w:rPr>
        <w:t xml:space="preserve"> the Cannon River watershed. This will a</w:t>
      </w:r>
      <w:r w:rsidR="00CE34C2" w:rsidRPr="002E4545">
        <w:rPr>
          <w:rFonts w:cs="Arial"/>
        </w:rPr>
        <w:t>llow us to identify existing site</w:t>
      </w:r>
      <w:r w:rsidR="004209E3" w:rsidRPr="002E4545">
        <w:rPr>
          <w:rFonts w:cs="Arial"/>
        </w:rPr>
        <w:t>s that can support mussel re-introduction and to prioritize areas that can be actively managed to</w:t>
      </w:r>
      <w:r w:rsidR="00DF26E1" w:rsidRPr="002E4545">
        <w:rPr>
          <w:rFonts w:cs="Arial"/>
        </w:rPr>
        <w:t xml:space="preserve"> protect and</w:t>
      </w:r>
      <w:r w:rsidR="004209E3" w:rsidRPr="002E4545">
        <w:rPr>
          <w:rFonts w:cs="Arial"/>
        </w:rPr>
        <w:t xml:space="preserve"> improve mussel habitat.  </w:t>
      </w:r>
    </w:p>
    <w:p w14:paraId="72D0B1E6" w14:textId="77777777" w:rsidR="002D3180" w:rsidRPr="002E4545" w:rsidRDefault="002D3180" w:rsidP="002E4545">
      <w:pPr>
        <w:pStyle w:val="Standard"/>
        <w:rPr>
          <w:rFonts w:cs="Arial"/>
          <w:b/>
        </w:rPr>
      </w:pPr>
    </w:p>
    <w:p w14:paraId="4B45BB9E" w14:textId="77777777" w:rsidR="002D3180" w:rsidRPr="002E4545" w:rsidRDefault="005B0DB1" w:rsidP="002E4545">
      <w:pPr>
        <w:pStyle w:val="Standard"/>
        <w:rPr>
          <w:rFonts w:cs="Arial"/>
          <w:b/>
        </w:rPr>
      </w:pPr>
      <w:r w:rsidRPr="002E4545">
        <w:rPr>
          <w:rFonts w:cs="Arial"/>
          <w:b/>
        </w:rPr>
        <w:t>II. PROJECT ACTIVITIES AND OUTCOMES</w:t>
      </w:r>
    </w:p>
    <w:p w14:paraId="2E5B3E65" w14:textId="1F29D0CD" w:rsidR="00FB3380" w:rsidRPr="002E4545" w:rsidRDefault="00FB3380" w:rsidP="002E4545">
      <w:pPr>
        <w:pStyle w:val="Standard"/>
        <w:widowControl w:val="0"/>
      </w:pPr>
      <w:r w:rsidRPr="002E4545">
        <w:rPr>
          <w:rFonts w:cs="Arial"/>
          <w:b/>
        </w:rPr>
        <w:t xml:space="preserve">Activity 1 Title: </w:t>
      </w:r>
      <w:r w:rsidRPr="002E4545">
        <w:rPr>
          <w:rFonts w:cs="Arial"/>
          <w:b/>
          <w:i/>
        </w:rPr>
        <w:t>Characterize</w:t>
      </w:r>
      <w:r w:rsidR="006118B9" w:rsidRPr="002E4545">
        <w:rPr>
          <w:rFonts w:cs="Arial"/>
          <w:b/>
          <w:i/>
        </w:rPr>
        <w:t xml:space="preserve"> physical</w:t>
      </w:r>
      <w:r w:rsidRPr="002E4545">
        <w:rPr>
          <w:rFonts w:cs="Arial"/>
          <w:b/>
          <w:i/>
        </w:rPr>
        <w:t xml:space="preserve"> attributes of </w:t>
      </w:r>
      <w:r w:rsidR="00D25DB8" w:rsidRPr="002E4545">
        <w:rPr>
          <w:rFonts w:cs="Arial"/>
          <w:b/>
          <w:i/>
        </w:rPr>
        <w:t xml:space="preserve">successful </w:t>
      </w:r>
      <w:r w:rsidRPr="002E4545">
        <w:rPr>
          <w:rFonts w:cs="Arial"/>
          <w:b/>
          <w:i/>
        </w:rPr>
        <w:t>mussel sites</w:t>
      </w:r>
    </w:p>
    <w:p w14:paraId="7D7575A4" w14:textId="7533C708" w:rsidR="00FB3380" w:rsidRPr="002E4545" w:rsidRDefault="00FB3380" w:rsidP="002E4545">
      <w:pPr>
        <w:pStyle w:val="Standard"/>
        <w:widowControl w:val="0"/>
      </w:pPr>
      <w:r w:rsidRPr="002E4545">
        <w:rPr>
          <w:rFonts w:cs="Arial"/>
        </w:rPr>
        <w:t xml:space="preserve">The Minnesota Department of Natural Resources has collected mussel data in the Cannon River watershed periodically since the 1980s and has several long-term monitoring sites </w:t>
      </w:r>
      <w:r w:rsidR="00106DA2" w:rsidRPr="002E4545">
        <w:rPr>
          <w:rFonts w:cs="Arial"/>
        </w:rPr>
        <w:t xml:space="preserve">with successful mussel </w:t>
      </w:r>
      <w:r w:rsidR="004E688D" w:rsidRPr="002E4545">
        <w:rPr>
          <w:rFonts w:cs="Arial"/>
        </w:rPr>
        <w:t>populations</w:t>
      </w:r>
      <w:r w:rsidRPr="002E4545">
        <w:rPr>
          <w:rFonts w:cs="Arial"/>
        </w:rPr>
        <w:t xml:space="preserve">. We will re-visit sites on the Cannon River, Straight River, Little Cannon River, Heath Creek, and Chub Creek. </w:t>
      </w:r>
      <w:r w:rsidRPr="002E4545">
        <w:rPr>
          <w:rFonts w:cs="Arial"/>
          <w:bCs/>
          <w:color w:val="000000"/>
        </w:rPr>
        <w:t>These sites span the geographic range of the watershed and have distinct species assemblages, based on DNR reports.</w:t>
      </w:r>
      <w:r w:rsidRPr="002E4545">
        <w:rPr>
          <w:rFonts w:cs="Arial"/>
        </w:rPr>
        <w:t xml:space="preserve"> At each site we will:</w:t>
      </w:r>
    </w:p>
    <w:p w14:paraId="0C9F4C9D" w14:textId="77777777" w:rsidR="00FB3380" w:rsidRPr="002E4545" w:rsidRDefault="00FB3380" w:rsidP="002E4545">
      <w:pPr>
        <w:pStyle w:val="ListParagraph"/>
        <w:numPr>
          <w:ilvl w:val="0"/>
          <w:numId w:val="17"/>
        </w:numPr>
      </w:pPr>
      <w:r w:rsidRPr="002E4545">
        <w:rPr>
          <w:rFonts w:cs="Arial"/>
          <w:bCs/>
          <w:color w:val="000000"/>
        </w:rPr>
        <w:t>Measure physical characteristics, including topography, grain size, channel geometry, water quality, and bedload and suspended-sediment transport</w:t>
      </w:r>
    </w:p>
    <w:p w14:paraId="564AE51F" w14:textId="77777777" w:rsidR="00FB3380" w:rsidRPr="002E4545" w:rsidRDefault="00FB3380" w:rsidP="002E4545">
      <w:pPr>
        <w:pStyle w:val="ListParagraph"/>
        <w:numPr>
          <w:ilvl w:val="0"/>
          <w:numId w:val="13"/>
        </w:numPr>
      </w:pPr>
      <w:r w:rsidRPr="002E4545">
        <w:rPr>
          <w:rFonts w:cs="Arial"/>
          <w:bCs/>
          <w:color w:val="000000"/>
        </w:rPr>
        <w:t>Deploy instruments to continuously monitor discharge and suspended sediment</w:t>
      </w:r>
    </w:p>
    <w:p w14:paraId="1244B80C" w14:textId="77777777" w:rsidR="00FB3380" w:rsidRPr="002E4545" w:rsidRDefault="00FB3380" w:rsidP="002E4545">
      <w:pPr>
        <w:pStyle w:val="ListParagraph"/>
        <w:numPr>
          <w:ilvl w:val="0"/>
          <w:numId w:val="13"/>
        </w:numPr>
      </w:pPr>
      <w:r w:rsidRPr="002E4545">
        <w:rPr>
          <w:rFonts w:cs="Arial"/>
          <w:bCs/>
          <w:color w:val="000000"/>
        </w:rPr>
        <w:t>Develop statistical relations between discharge and sediment transport to extrapolate beyond the period of record</w:t>
      </w:r>
    </w:p>
    <w:p w14:paraId="4D3B6800" w14:textId="6D655E21" w:rsidR="002D3180" w:rsidRDefault="00FB3380" w:rsidP="002E4545">
      <w:pPr>
        <w:pStyle w:val="Standard"/>
        <w:rPr>
          <w:rFonts w:cs="Arial"/>
          <w:bCs/>
          <w:color w:val="000000"/>
        </w:rPr>
      </w:pPr>
      <w:r w:rsidRPr="002E4545">
        <w:rPr>
          <w:rFonts w:cs="Arial"/>
          <w:bCs/>
          <w:color w:val="000000"/>
        </w:rPr>
        <w:t>Using the topographi</w:t>
      </w:r>
      <w:r w:rsidR="001E333B">
        <w:rPr>
          <w:rFonts w:cs="Arial"/>
          <w:bCs/>
          <w:color w:val="000000"/>
        </w:rPr>
        <w:t>c data, we will develop hydrodynami</w:t>
      </w:r>
      <w:r w:rsidRPr="002E4545">
        <w:rPr>
          <w:rFonts w:cs="Arial"/>
          <w:bCs/>
          <w:color w:val="000000"/>
        </w:rPr>
        <w:t>c models of each site. Hy</w:t>
      </w:r>
      <w:r w:rsidR="001E333B">
        <w:rPr>
          <w:rFonts w:cs="Arial"/>
          <w:bCs/>
          <w:color w:val="000000"/>
        </w:rPr>
        <w:t>drodynamic</w:t>
      </w:r>
      <w:r w:rsidRPr="002E4545">
        <w:rPr>
          <w:rFonts w:cs="Arial"/>
          <w:bCs/>
          <w:color w:val="000000"/>
        </w:rPr>
        <w:t xml:space="preserve"> models produce predictions of velocity and sediment transport for a variety of flows. This approach will allow us to identify stable areas of the river bed, which are requ</w:t>
      </w:r>
      <w:r w:rsidR="0057135C" w:rsidRPr="002E4545">
        <w:rPr>
          <w:rFonts w:cs="Arial"/>
          <w:bCs/>
          <w:color w:val="000000"/>
        </w:rPr>
        <w:t>ired by mussels.</w:t>
      </w:r>
      <w:r w:rsidRPr="002E4545">
        <w:rPr>
          <w:rFonts w:cs="Arial"/>
          <w:bCs/>
          <w:color w:val="000000"/>
        </w:rPr>
        <w:t xml:space="preserve"> </w:t>
      </w:r>
      <w:r w:rsidR="0057135C" w:rsidRPr="002E4545">
        <w:rPr>
          <w:rFonts w:cs="Arial"/>
          <w:bCs/>
          <w:color w:val="000000"/>
        </w:rPr>
        <w:t>P</w:t>
      </w:r>
      <w:r w:rsidRPr="002E4545">
        <w:rPr>
          <w:rFonts w:cs="Arial"/>
          <w:bCs/>
          <w:color w:val="000000"/>
        </w:rPr>
        <w:t xml:space="preserve">revious studies have successfully identified links between hydraulic attributes and mussel habitat.  </w:t>
      </w:r>
    </w:p>
    <w:p w14:paraId="7D130EB4" w14:textId="77777777" w:rsidR="00D50377" w:rsidRPr="002E4545" w:rsidRDefault="00D50377" w:rsidP="002E4545">
      <w:pPr>
        <w:pStyle w:val="Standard"/>
        <w:rPr>
          <w:rFonts w:cs="Arial"/>
          <w:i/>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285"/>
        <w:gridCol w:w="806"/>
        <w:gridCol w:w="979"/>
        <w:gridCol w:w="406"/>
      </w:tblGrid>
      <w:tr w:rsidR="002D3180" w:rsidRPr="002E4545" w14:paraId="114A8B69" w14:textId="77777777" w:rsidTr="00D50377">
        <w:tc>
          <w:tcPr>
            <w:tcW w:w="9091" w:type="dxa"/>
            <w:gridSpan w:val="2"/>
            <w:tcBorders>
              <w:top w:val="nil"/>
              <w:left w:val="nil"/>
              <w:bottom w:val="nil"/>
              <w:right w:val="nil"/>
            </w:tcBorders>
            <w:tcMar>
              <w:top w:w="0" w:type="dxa"/>
              <w:left w:w="108" w:type="dxa"/>
              <w:bottom w:w="0" w:type="dxa"/>
              <w:right w:w="108" w:type="dxa"/>
            </w:tcMar>
          </w:tcPr>
          <w:p w14:paraId="11AC7870" w14:textId="692C9FE7" w:rsidR="002D3180" w:rsidRPr="002E4545" w:rsidRDefault="005B0DB1" w:rsidP="00E541E5">
            <w:pPr>
              <w:pStyle w:val="Standard"/>
            </w:pPr>
            <w:r w:rsidRPr="002E4545">
              <w:rPr>
                <w:rFonts w:cs="Arial"/>
                <w:b/>
                <w:bCs/>
                <w:color w:val="000000"/>
              </w:rPr>
              <w:t>ENRTF BUDGET: $</w:t>
            </w:r>
            <w:r w:rsidR="00C90764" w:rsidRPr="002E4545">
              <w:rPr>
                <w:rFonts w:cs="Arial"/>
                <w:b/>
                <w:bCs/>
                <w:color w:val="000000"/>
              </w:rPr>
              <w:t xml:space="preserve"> </w:t>
            </w:r>
            <w:r w:rsidR="00E541E5">
              <w:rPr>
                <w:rFonts w:cs="Arial"/>
                <w:b/>
                <w:bCs/>
                <w:color w:val="000000"/>
              </w:rPr>
              <w:t>92, 067</w:t>
            </w:r>
          </w:p>
        </w:tc>
        <w:tc>
          <w:tcPr>
            <w:tcW w:w="1385" w:type="dxa"/>
            <w:gridSpan w:val="2"/>
            <w:tcBorders>
              <w:top w:val="nil"/>
              <w:left w:val="nil"/>
              <w:bottom w:val="nil"/>
              <w:right w:val="nil"/>
            </w:tcBorders>
            <w:tcMar>
              <w:top w:w="0" w:type="dxa"/>
              <w:left w:w="108" w:type="dxa"/>
              <w:bottom w:w="0" w:type="dxa"/>
              <w:right w:w="108" w:type="dxa"/>
            </w:tcMar>
          </w:tcPr>
          <w:p w14:paraId="20950E19" w14:textId="77777777" w:rsidR="002D3180" w:rsidRPr="002E4545" w:rsidRDefault="002D3180" w:rsidP="002E4545">
            <w:pPr>
              <w:pStyle w:val="Standard"/>
              <w:rPr>
                <w:rFonts w:cs="Arial"/>
              </w:rPr>
            </w:pPr>
          </w:p>
        </w:tc>
      </w:tr>
      <w:tr w:rsidR="002D3180" w:rsidRPr="002E4545" w14:paraId="78622C69" w14:textId="77777777" w:rsidTr="00D50377">
        <w:trPr>
          <w:gridAfter w:val="1"/>
          <w:wAfter w:w="406" w:type="dxa"/>
        </w:trPr>
        <w:tc>
          <w:tcPr>
            <w:tcW w:w="8285" w:type="dxa"/>
            <w:tcMar>
              <w:top w:w="0" w:type="dxa"/>
              <w:left w:w="113" w:type="dxa"/>
              <w:bottom w:w="0" w:type="dxa"/>
              <w:right w:w="108" w:type="dxa"/>
            </w:tcMar>
          </w:tcPr>
          <w:p w14:paraId="7C500FFE" w14:textId="77777777" w:rsidR="002D3180" w:rsidRPr="002E4545" w:rsidRDefault="005B0DB1" w:rsidP="002E4545">
            <w:pPr>
              <w:pStyle w:val="Standard"/>
            </w:pPr>
            <w:r w:rsidRPr="002E4545">
              <w:rPr>
                <w:rFonts w:cs="Arial"/>
                <w:b/>
              </w:rPr>
              <w:t>Outcome</w:t>
            </w:r>
          </w:p>
        </w:tc>
        <w:tc>
          <w:tcPr>
            <w:tcW w:w="1785" w:type="dxa"/>
            <w:gridSpan w:val="2"/>
            <w:tcMar>
              <w:top w:w="0" w:type="dxa"/>
              <w:left w:w="113" w:type="dxa"/>
              <w:bottom w:w="0" w:type="dxa"/>
              <w:right w:w="108" w:type="dxa"/>
            </w:tcMar>
          </w:tcPr>
          <w:p w14:paraId="2682862D" w14:textId="77777777" w:rsidR="002D3180" w:rsidRPr="002E4545" w:rsidRDefault="005B0DB1" w:rsidP="002E4545">
            <w:pPr>
              <w:pStyle w:val="Standard"/>
              <w:jc w:val="center"/>
            </w:pPr>
            <w:r w:rsidRPr="002E4545">
              <w:rPr>
                <w:rFonts w:cs="Arial"/>
                <w:b/>
              </w:rPr>
              <w:t>Completion Date</w:t>
            </w:r>
          </w:p>
        </w:tc>
      </w:tr>
      <w:tr w:rsidR="002D3180" w:rsidRPr="002E4545" w14:paraId="21F81488" w14:textId="77777777" w:rsidTr="00D50377">
        <w:trPr>
          <w:gridAfter w:val="1"/>
          <w:wAfter w:w="406" w:type="dxa"/>
        </w:trPr>
        <w:tc>
          <w:tcPr>
            <w:tcW w:w="8285" w:type="dxa"/>
            <w:tcMar>
              <w:top w:w="0" w:type="dxa"/>
              <w:left w:w="113" w:type="dxa"/>
              <w:bottom w:w="0" w:type="dxa"/>
              <w:right w:w="108" w:type="dxa"/>
            </w:tcMar>
          </w:tcPr>
          <w:p w14:paraId="694E9D98" w14:textId="77777777" w:rsidR="002D3180" w:rsidRPr="002E4545" w:rsidRDefault="005B0DB1" w:rsidP="002E4545">
            <w:pPr>
              <w:pStyle w:val="Standard"/>
            </w:pPr>
            <w:r w:rsidRPr="002E4545">
              <w:rPr>
                <w:rFonts w:cs="Arial"/>
              </w:rPr>
              <w:t>1.  Measure grain size, channel geometry, and sediment transport</w:t>
            </w:r>
          </w:p>
        </w:tc>
        <w:tc>
          <w:tcPr>
            <w:tcW w:w="1785" w:type="dxa"/>
            <w:gridSpan w:val="2"/>
            <w:tcMar>
              <w:top w:w="0" w:type="dxa"/>
              <w:left w:w="113" w:type="dxa"/>
              <w:bottom w:w="0" w:type="dxa"/>
              <w:right w:w="108" w:type="dxa"/>
            </w:tcMar>
          </w:tcPr>
          <w:p w14:paraId="0800CE54" w14:textId="77777777" w:rsidR="002D3180" w:rsidRPr="002E4545" w:rsidRDefault="005B0DB1" w:rsidP="002E4545">
            <w:pPr>
              <w:pStyle w:val="Standard"/>
            </w:pPr>
            <w:r w:rsidRPr="002E4545">
              <w:rPr>
                <w:rFonts w:cs="Arial"/>
              </w:rPr>
              <w:t>11/01/2020</w:t>
            </w:r>
          </w:p>
        </w:tc>
      </w:tr>
      <w:tr w:rsidR="002D3180" w:rsidRPr="002E4545" w14:paraId="26C25C8A" w14:textId="77777777" w:rsidTr="00D50377">
        <w:trPr>
          <w:gridAfter w:val="1"/>
          <w:wAfter w:w="406" w:type="dxa"/>
        </w:trPr>
        <w:tc>
          <w:tcPr>
            <w:tcW w:w="8285" w:type="dxa"/>
            <w:tcMar>
              <w:top w:w="0" w:type="dxa"/>
              <w:left w:w="113" w:type="dxa"/>
              <w:bottom w:w="0" w:type="dxa"/>
              <w:right w:w="108" w:type="dxa"/>
            </w:tcMar>
          </w:tcPr>
          <w:p w14:paraId="453858BB" w14:textId="74A7C265" w:rsidR="002D3180" w:rsidRPr="002E4545" w:rsidRDefault="001E333B" w:rsidP="002E4545">
            <w:pPr>
              <w:pStyle w:val="Standard"/>
            </w:pPr>
            <w:r>
              <w:rPr>
                <w:rFonts w:cs="Arial"/>
              </w:rPr>
              <w:lastRenderedPageBreak/>
              <w:t>2.  Develop hydrodynami</w:t>
            </w:r>
            <w:r w:rsidR="005B0DB1" w:rsidRPr="002E4545">
              <w:rPr>
                <w:rFonts w:cs="Arial"/>
              </w:rPr>
              <w:t>c models of known mussel sites</w:t>
            </w:r>
          </w:p>
        </w:tc>
        <w:tc>
          <w:tcPr>
            <w:tcW w:w="1785" w:type="dxa"/>
            <w:gridSpan w:val="2"/>
            <w:tcMar>
              <w:top w:w="0" w:type="dxa"/>
              <w:left w:w="113" w:type="dxa"/>
              <w:bottom w:w="0" w:type="dxa"/>
              <w:right w:w="108" w:type="dxa"/>
            </w:tcMar>
          </w:tcPr>
          <w:p w14:paraId="1DB0E809" w14:textId="0BD49B1D" w:rsidR="002D3180" w:rsidRPr="002E4545" w:rsidRDefault="00C63647" w:rsidP="002E4545">
            <w:pPr>
              <w:pStyle w:val="Standard"/>
            </w:pPr>
            <w:r w:rsidRPr="002E4545">
              <w:rPr>
                <w:rFonts w:cs="Arial"/>
              </w:rPr>
              <w:t>06/01/2021</w:t>
            </w:r>
          </w:p>
        </w:tc>
      </w:tr>
    </w:tbl>
    <w:p w14:paraId="1DE438AE" w14:textId="77777777" w:rsidR="000F5446" w:rsidRPr="002E4545" w:rsidRDefault="000F5446" w:rsidP="002E4545">
      <w:pPr>
        <w:pStyle w:val="Standard"/>
        <w:widowControl w:val="0"/>
        <w:rPr>
          <w:rFonts w:cs="Arial"/>
          <w:b/>
        </w:rPr>
      </w:pPr>
    </w:p>
    <w:p w14:paraId="0236F083" w14:textId="77777777" w:rsidR="000F5446" w:rsidRPr="002E4545" w:rsidRDefault="000F5446" w:rsidP="002E4545">
      <w:pPr>
        <w:pStyle w:val="Standard"/>
        <w:widowControl w:val="0"/>
      </w:pPr>
      <w:r w:rsidRPr="002E4545">
        <w:rPr>
          <w:rFonts w:cs="Arial"/>
          <w:b/>
        </w:rPr>
        <w:t xml:space="preserve">Activity 2 Title: </w:t>
      </w:r>
      <w:r w:rsidRPr="002E4545">
        <w:rPr>
          <w:rFonts w:cs="Arial"/>
          <w:b/>
          <w:i/>
        </w:rPr>
        <w:t>Model habitat suitability and identify restoration sites</w:t>
      </w:r>
    </w:p>
    <w:p w14:paraId="10B57F60" w14:textId="658330B3" w:rsidR="000F5446" w:rsidRDefault="000F5446" w:rsidP="002E4545">
      <w:pPr>
        <w:pStyle w:val="Standard"/>
        <w:rPr>
          <w:rFonts w:cs="Arial"/>
          <w:bCs/>
          <w:color w:val="000000"/>
        </w:rPr>
      </w:pPr>
      <w:r w:rsidRPr="002E4545">
        <w:rPr>
          <w:rFonts w:cs="Arial"/>
          <w:bCs/>
          <w:color w:val="000000"/>
        </w:rPr>
        <w:t>We will use the findings of Activity 1 to create habitat suitability relationships</w:t>
      </w:r>
      <w:r w:rsidR="004A6C56">
        <w:rPr>
          <w:rFonts w:cs="Arial"/>
          <w:bCs/>
          <w:color w:val="000000"/>
        </w:rPr>
        <w:t xml:space="preserve"> based on statistical relations between mussel populations and physical characteristics</w:t>
      </w:r>
      <w:r w:rsidRPr="002E4545">
        <w:rPr>
          <w:rFonts w:cs="Arial"/>
          <w:bCs/>
          <w:color w:val="000000"/>
        </w:rPr>
        <w:t>. We anticipate that a combination of sediment characteristics, channel geometry, and hydraulic attributes will predict suitable habitat. From these relationships, we will map available and optimal mussel habitat in the Cannon River watershed. Sites with good mussel habitat will be listed as high priority for protection, while sites with some attributes of good habitat provide targets for restoration. We will provide the DNR and Cannon River Watershed Partnership with recommendations to promote additional high-quality habitat.</w:t>
      </w:r>
      <w:r w:rsidR="004A76F9">
        <w:rPr>
          <w:rFonts w:cs="Arial"/>
          <w:bCs/>
          <w:color w:val="000000"/>
        </w:rPr>
        <w:t xml:space="preserve"> </w:t>
      </w:r>
    </w:p>
    <w:p w14:paraId="7CDCEBE1" w14:textId="77777777" w:rsidR="00766337" w:rsidRPr="00C877CE" w:rsidRDefault="00766337" w:rsidP="002E4545">
      <w:pPr>
        <w:pStyle w:val="Standard"/>
        <w:rPr>
          <w:rStyle w:val="SubtleEmphasis"/>
        </w:rPr>
      </w:pPr>
    </w:p>
    <w:tbl>
      <w:tblPr>
        <w:tblW w:w="10476" w:type="dxa"/>
        <w:tblLayout w:type="fixed"/>
        <w:tblCellMar>
          <w:left w:w="10" w:type="dxa"/>
          <w:right w:w="10" w:type="dxa"/>
        </w:tblCellMar>
        <w:tblLook w:val="04A0" w:firstRow="1" w:lastRow="0" w:firstColumn="1" w:lastColumn="0" w:noHBand="0" w:noVBand="1"/>
      </w:tblPr>
      <w:tblGrid>
        <w:gridCol w:w="9181"/>
        <w:gridCol w:w="1295"/>
      </w:tblGrid>
      <w:tr w:rsidR="002D3180" w:rsidRPr="002E4545" w14:paraId="72396031" w14:textId="77777777" w:rsidTr="00293851">
        <w:tc>
          <w:tcPr>
            <w:tcW w:w="9181" w:type="dxa"/>
            <w:tcBorders>
              <w:bottom w:val="single" w:sz="4" w:space="0" w:color="000000"/>
            </w:tcBorders>
            <w:tcMar>
              <w:top w:w="0" w:type="dxa"/>
              <w:left w:w="108" w:type="dxa"/>
              <w:bottom w:w="0" w:type="dxa"/>
              <w:right w:w="108" w:type="dxa"/>
            </w:tcMar>
          </w:tcPr>
          <w:p w14:paraId="24A0FA6F" w14:textId="406D2F23" w:rsidR="002D3180" w:rsidRPr="002E4545" w:rsidRDefault="005B0DB1" w:rsidP="00E541E5">
            <w:pPr>
              <w:pStyle w:val="Standard"/>
            </w:pPr>
            <w:r w:rsidRPr="002E4545">
              <w:rPr>
                <w:rFonts w:cs="Arial"/>
                <w:b/>
                <w:bCs/>
                <w:color w:val="000000"/>
              </w:rPr>
              <w:t>ENRTF BUDGET: $</w:t>
            </w:r>
            <w:r w:rsidR="00C90764" w:rsidRPr="002E4545">
              <w:rPr>
                <w:rFonts w:cs="Arial"/>
                <w:b/>
                <w:bCs/>
                <w:color w:val="000000"/>
              </w:rPr>
              <w:t xml:space="preserve"> </w:t>
            </w:r>
            <w:r w:rsidR="00E541E5">
              <w:rPr>
                <w:rFonts w:cs="Arial"/>
                <w:b/>
                <w:bCs/>
                <w:color w:val="000000"/>
              </w:rPr>
              <w:t>62, 344</w:t>
            </w:r>
          </w:p>
        </w:tc>
        <w:tc>
          <w:tcPr>
            <w:tcW w:w="1295" w:type="dxa"/>
            <w:tcBorders>
              <w:bottom w:val="single" w:sz="4" w:space="0" w:color="000000"/>
            </w:tcBorders>
            <w:tcMar>
              <w:top w:w="0" w:type="dxa"/>
              <w:left w:w="108" w:type="dxa"/>
              <w:bottom w:w="0" w:type="dxa"/>
              <w:right w:w="108" w:type="dxa"/>
            </w:tcMar>
          </w:tcPr>
          <w:p w14:paraId="4EB433F0" w14:textId="77777777" w:rsidR="002D3180" w:rsidRPr="002E4545" w:rsidRDefault="002D3180" w:rsidP="002E4545">
            <w:pPr>
              <w:pStyle w:val="Standard"/>
              <w:rPr>
                <w:rFonts w:cs="Arial"/>
              </w:rPr>
            </w:pPr>
          </w:p>
        </w:tc>
      </w:tr>
      <w:tr w:rsidR="002D3180" w:rsidRPr="002E4545" w14:paraId="275771B6" w14:textId="77777777" w:rsidTr="00293851">
        <w:tc>
          <w:tcPr>
            <w:tcW w:w="9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C281F" w14:textId="77777777" w:rsidR="002D3180" w:rsidRPr="002E4545" w:rsidRDefault="005B0DB1" w:rsidP="002E4545">
            <w:pPr>
              <w:pStyle w:val="Standard"/>
              <w:widowControl w:val="0"/>
            </w:pPr>
            <w:r w:rsidRPr="002E4545">
              <w:rPr>
                <w:rFonts w:cs="Arial"/>
                <w:b/>
              </w:rPr>
              <w:t>Outcome</w:t>
            </w: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BEB88" w14:textId="77777777" w:rsidR="002D3180" w:rsidRPr="002E4545" w:rsidRDefault="005B0DB1" w:rsidP="002E4545">
            <w:pPr>
              <w:pStyle w:val="Standard"/>
            </w:pPr>
            <w:r w:rsidRPr="002E4545">
              <w:rPr>
                <w:rFonts w:cs="Arial"/>
                <w:b/>
              </w:rPr>
              <w:t>Completion Date</w:t>
            </w:r>
          </w:p>
        </w:tc>
      </w:tr>
      <w:tr w:rsidR="002D3180" w:rsidRPr="002E4545" w14:paraId="290BF923" w14:textId="77777777" w:rsidTr="00293851">
        <w:tc>
          <w:tcPr>
            <w:tcW w:w="9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21A86" w14:textId="77777777" w:rsidR="002D3180" w:rsidRPr="002E4545" w:rsidRDefault="005B0DB1" w:rsidP="002E4545">
            <w:pPr>
              <w:pStyle w:val="Standard"/>
              <w:widowControl w:val="0"/>
            </w:pPr>
            <w:r w:rsidRPr="002E4545">
              <w:rPr>
                <w:rFonts w:cs="Arial"/>
                <w:b/>
              </w:rPr>
              <w:t xml:space="preserve">1.  </w:t>
            </w:r>
            <w:r w:rsidRPr="002E4545">
              <w:rPr>
                <w:rFonts w:cs="Arial"/>
              </w:rPr>
              <w:t>Create habitat suitability curves and maps for the Cannon River watershed</w:t>
            </w: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0647E" w14:textId="77777777" w:rsidR="002D3180" w:rsidRPr="002E4545" w:rsidRDefault="005B0DB1" w:rsidP="002E4545">
            <w:pPr>
              <w:pStyle w:val="Standard"/>
            </w:pPr>
            <w:r w:rsidRPr="002E4545">
              <w:rPr>
                <w:rFonts w:cs="Arial"/>
              </w:rPr>
              <w:t>04/30/2022</w:t>
            </w:r>
          </w:p>
        </w:tc>
      </w:tr>
      <w:tr w:rsidR="002D3180" w:rsidRPr="002E4545" w14:paraId="6C9534D6" w14:textId="77777777" w:rsidTr="00293851">
        <w:tc>
          <w:tcPr>
            <w:tcW w:w="9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7281" w14:textId="77777777" w:rsidR="002D3180" w:rsidRPr="002E4545" w:rsidRDefault="005B0DB1" w:rsidP="002E4545">
            <w:pPr>
              <w:pStyle w:val="Standard"/>
              <w:widowControl w:val="0"/>
            </w:pPr>
            <w:r w:rsidRPr="002E4545">
              <w:rPr>
                <w:rFonts w:cs="Arial"/>
                <w:b/>
              </w:rPr>
              <w:t xml:space="preserve">2.  </w:t>
            </w:r>
            <w:r w:rsidRPr="002E4545">
              <w:rPr>
                <w:rFonts w:cs="Arial"/>
              </w:rPr>
              <w:t xml:space="preserve">Produce recommendations for restoration sites and actions to improve mussel habitat  </w:t>
            </w: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2A0F1" w14:textId="77777777" w:rsidR="002D3180" w:rsidRPr="002E4545" w:rsidRDefault="005B0DB1" w:rsidP="002E4545">
            <w:pPr>
              <w:pStyle w:val="Standard"/>
            </w:pPr>
            <w:r w:rsidRPr="002E4545">
              <w:rPr>
                <w:rFonts w:cs="Arial"/>
              </w:rPr>
              <w:t>06/30/2023</w:t>
            </w:r>
          </w:p>
        </w:tc>
      </w:tr>
      <w:tr w:rsidR="0014583F" w:rsidRPr="002E4545" w14:paraId="10195CBC" w14:textId="77777777" w:rsidTr="00293851">
        <w:tc>
          <w:tcPr>
            <w:tcW w:w="9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7689" w14:textId="6977E6A4" w:rsidR="0014583F" w:rsidRPr="002E4545" w:rsidRDefault="0014583F" w:rsidP="002E4545">
            <w:pPr>
              <w:pStyle w:val="Standard"/>
              <w:widowControl w:val="0"/>
              <w:rPr>
                <w:rFonts w:cs="Arial"/>
              </w:rPr>
            </w:pPr>
            <w:r w:rsidRPr="002E4545">
              <w:rPr>
                <w:rFonts w:cs="Arial"/>
                <w:b/>
              </w:rPr>
              <w:t xml:space="preserve">3. </w:t>
            </w:r>
            <w:r w:rsidRPr="002E4545">
              <w:rPr>
                <w:rFonts w:cs="Arial"/>
              </w:rPr>
              <w:t>Present habitat suitability and restoration recommendations to stakeholders</w:t>
            </w:r>
          </w:p>
        </w:tc>
        <w:tc>
          <w:tcPr>
            <w:tcW w:w="1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3163F" w14:textId="37D81318" w:rsidR="0014583F" w:rsidRPr="002E4545" w:rsidRDefault="0014583F" w:rsidP="002E4545">
            <w:pPr>
              <w:pStyle w:val="Standard"/>
              <w:rPr>
                <w:rFonts w:cs="Arial"/>
              </w:rPr>
            </w:pPr>
            <w:r w:rsidRPr="002E4545">
              <w:rPr>
                <w:rFonts w:cs="Arial"/>
              </w:rPr>
              <w:t>06/30/2023</w:t>
            </w:r>
          </w:p>
        </w:tc>
      </w:tr>
    </w:tbl>
    <w:p w14:paraId="3318D62D" w14:textId="77777777" w:rsidR="002D3180" w:rsidRPr="002E4545" w:rsidRDefault="002D3180" w:rsidP="002E4545">
      <w:pPr>
        <w:pStyle w:val="Standard"/>
        <w:tabs>
          <w:tab w:val="left" w:pos="540"/>
        </w:tabs>
        <w:rPr>
          <w:rFonts w:cs="Arial"/>
          <w:i/>
        </w:rPr>
      </w:pPr>
    </w:p>
    <w:p w14:paraId="5ADD4D7E" w14:textId="77777777" w:rsidR="002D3180" w:rsidRPr="002E4545" w:rsidRDefault="005B0DB1" w:rsidP="002E4545">
      <w:pPr>
        <w:pStyle w:val="Standard"/>
        <w:tabs>
          <w:tab w:val="left" w:pos="540"/>
        </w:tabs>
      </w:pPr>
      <w:r w:rsidRPr="002E4545">
        <w:rPr>
          <w:rFonts w:cs="Arial"/>
          <w:b/>
        </w:rPr>
        <w:t xml:space="preserve">III. </w:t>
      </w:r>
      <w:r w:rsidRPr="002E4545">
        <w:rPr>
          <w:rFonts w:cs="Arial"/>
          <w:b/>
          <w:bCs/>
          <w:color w:val="000000"/>
        </w:rPr>
        <w:t>PROJECT PARTNERS AND COLLABORATORS:</w:t>
      </w:r>
    </w:p>
    <w:p w14:paraId="76F2D01C" w14:textId="77777777" w:rsidR="002D3180" w:rsidRPr="002E4545" w:rsidRDefault="005B0DB1" w:rsidP="002E4545">
      <w:pPr>
        <w:pStyle w:val="Standard"/>
      </w:pPr>
      <w:r w:rsidRPr="002E4545">
        <w:rPr>
          <w:rFonts w:cs="Arial"/>
          <w:b/>
        </w:rPr>
        <w:t>Partners receiving ENRTF funding:</w:t>
      </w:r>
    </w:p>
    <w:p w14:paraId="5C26AD3E" w14:textId="7710E145" w:rsidR="002D3180" w:rsidRPr="002E4545" w:rsidRDefault="00A25024" w:rsidP="002E4545">
      <w:pPr>
        <w:pStyle w:val="Standard"/>
        <w:rPr>
          <w:rFonts w:cs="Arial"/>
        </w:rPr>
      </w:pPr>
      <w:r w:rsidRPr="002E4545">
        <w:rPr>
          <w:rFonts w:cs="Arial"/>
        </w:rPr>
        <w:t>Jabari Jones</w:t>
      </w:r>
      <w:r w:rsidR="00B20AC6" w:rsidRPr="002E4545">
        <w:rPr>
          <w:rFonts w:cs="Arial"/>
        </w:rPr>
        <w:t>, PhD student, UMN</w:t>
      </w:r>
      <w:r w:rsidR="000F4456" w:rsidRPr="002E4545">
        <w:rPr>
          <w:rFonts w:cs="Arial"/>
        </w:rPr>
        <w:t xml:space="preserve"> Earth Sciences</w:t>
      </w:r>
      <w:r w:rsidRPr="002E4545">
        <w:rPr>
          <w:rFonts w:cs="Arial"/>
        </w:rPr>
        <w:t xml:space="preserve"> – Project manager, environmental data collection, hydrodynamic modeling</w:t>
      </w:r>
      <w:r w:rsidR="0087051F">
        <w:rPr>
          <w:rFonts w:cs="Arial"/>
        </w:rPr>
        <w:t>, habitat suitability</w:t>
      </w:r>
    </w:p>
    <w:p w14:paraId="22FD7E27" w14:textId="20AE9CDE" w:rsidR="00FD57CA" w:rsidRDefault="00FD57CA" w:rsidP="002E4545">
      <w:pPr>
        <w:pStyle w:val="Standard"/>
        <w:rPr>
          <w:rFonts w:cs="Arial"/>
        </w:rPr>
      </w:pPr>
      <w:r w:rsidRPr="002E4545">
        <w:rPr>
          <w:rFonts w:cs="Arial"/>
        </w:rPr>
        <w:t>Andy Wickert</w:t>
      </w:r>
      <w:r w:rsidR="00B20AC6" w:rsidRPr="002E4545">
        <w:rPr>
          <w:rFonts w:cs="Arial"/>
        </w:rPr>
        <w:t>, Assistant Professor, UMN</w:t>
      </w:r>
      <w:r w:rsidR="000F4456" w:rsidRPr="002E4545">
        <w:rPr>
          <w:rFonts w:cs="Arial"/>
        </w:rPr>
        <w:t xml:space="preserve"> Earth Sciences</w:t>
      </w:r>
      <w:r w:rsidRPr="002E4545">
        <w:rPr>
          <w:rFonts w:cs="Arial"/>
        </w:rPr>
        <w:t xml:space="preserve"> – Instrument development and deployment</w:t>
      </w:r>
      <w:r w:rsidR="00B20AC6" w:rsidRPr="002E4545">
        <w:rPr>
          <w:rFonts w:cs="Arial"/>
        </w:rPr>
        <w:t xml:space="preserve">, </w:t>
      </w:r>
      <w:r w:rsidR="00F06313">
        <w:rPr>
          <w:rFonts w:cs="Arial"/>
        </w:rPr>
        <w:t xml:space="preserve">data collection, </w:t>
      </w:r>
      <w:r w:rsidR="00F64E3B">
        <w:rPr>
          <w:rFonts w:cs="Arial"/>
        </w:rPr>
        <w:t xml:space="preserve">hydrodynamic modeling, </w:t>
      </w:r>
      <w:r w:rsidR="00B20AC6" w:rsidRPr="002E4545">
        <w:rPr>
          <w:rFonts w:cs="Arial"/>
        </w:rPr>
        <w:t>advising Jones and undergraduate technician</w:t>
      </w:r>
      <w:r w:rsidR="004C5F3F" w:rsidRPr="002E4545">
        <w:rPr>
          <w:rFonts w:cs="Arial"/>
        </w:rPr>
        <w:t>s</w:t>
      </w:r>
    </w:p>
    <w:p w14:paraId="17456CC7" w14:textId="77777777" w:rsidR="00C6135A" w:rsidRPr="002E4545" w:rsidRDefault="00C6135A" w:rsidP="002E4545">
      <w:pPr>
        <w:pStyle w:val="Standard"/>
        <w:rPr>
          <w:rFonts w:cs="Arial"/>
        </w:rPr>
      </w:pPr>
    </w:p>
    <w:p w14:paraId="7DB64E54" w14:textId="3EDB504C" w:rsidR="003339FA" w:rsidRPr="002E4545" w:rsidRDefault="003339FA" w:rsidP="002E4545">
      <w:pPr>
        <w:pStyle w:val="Standard"/>
        <w:rPr>
          <w:rFonts w:cs="Arial"/>
          <w:b/>
        </w:rPr>
      </w:pPr>
      <w:r w:rsidRPr="002E4545">
        <w:rPr>
          <w:rFonts w:cs="Arial"/>
          <w:b/>
        </w:rPr>
        <w:t>Partners not receiving ENRTF funding:</w:t>
      </w:r>
    </w:p>
    <w:p w14:paraId="55E7F628" w14:textId="55017A79" w:rsidR="003339FA" w:rsidRDefault="003339FA" w:rsidP="002E4545">
      <w:pPr>
        <w:pStyle w:val="Standard"/>
        <w:rPr>
          <w:rFonts w:cs="Arial"/>
        </w:rPr>
      </w:pPr>
      <w:r w:rsidRPr="002E4545">
        <w:rPr>
          <w:rFonts w:cs="Arial"/>
        </w:rPr>
        <w:t xml:space="preserve">Kelly Macgregor, Associate professor, </w:t>
      </w:r>
      <w:proofErr w:type="spellStart"/>
      <w:r w:rsidRPr="002E4545">
        <w:rPr>
          <w:rFonts w:cs="Arial"/>
        </w:rPr>
        <w:t>Macalaster</w:t>
      </w:r>
      <w:proofErr w:type="spellEnd"/>
      <w:r w:rsidRPr="002E4545">
        <w:rPr>
          <w:rFonts w:cs="Arial"/>
        </w:rPr>
        <w:t xml:space="preserve"> College </w:t>
      </w:r>
      <w:r w:rsidR="000F4456" w:rsidRPr="002E4545">
        <w:rPr>
          <w:rFonts w:cs="Arial"/>
        </w:rPr>
        <w:t xml:space="preserve">Geology </w:t>
      </w:r>
    </w:p>
    <w:p w14:paraId="24AD01AD" w14:textId="434A0B79" w:rsidR="003F6951" w:rsidRDefault="003F6951" w:rsidP="002E4545">
      <w:pPr>
        <w:pStyle w:val="Standard"/>
        <w:rPr>
          <w:rFonts w:cs="Arial"/>
        </w:rPr>
      </w:pPr>
      <w:r>
        <w:rPr>
          <w:rFonts w:cs="Arial"/>
        </w:rPr>
        <w:t xml:space="preserve">Dan </w:t>
      </w:r>
      <w:proofErr w:type="spellStart"/>
      <w:r>
        <w:rPr>
          <w:rFonts w:cs="Arial"/>
        </w:rPr>
        <w:t>Hornbach</w:t>
      </w:r>
      <w:proofErr w:type="spellEnd"/>
      <w:r>
        <w:rPr>
          <w:rFonts w:cs="Arial"/>
        </w:rPr>
        <w:t xml:space="preserve">, Professor, </w:t>
      </w:r>
      <w:proofErr w:type="spellStart"/>
      <w:r>
        <w:rPr>
          <w:rFonts w:cs="Arial"/>
        </w:rPr>
        <w:t>Macalaster</w:t>
      </w:r>
      <w:proofErr w:type="spellEnd"/>
      <w:r>
        <w:rPr>
          <w:rFonts w:cs="Arial"/>
        </w:rPr>
        <w:t xml:space="preserve"> College Biology</w:t>
      </w:r>
    </w:p>
    <w:p w14:paraId="223A63DD" w14:textId="7363A424" w:rsidR="0069408D" w:rsidRPr="002E4545" w:rsidRDefault="0069408D" w:rsidP="002E4545">
      <w:pPr>
        <w:pStyle w:val="Standard"/>
        <w:rPr>
          <w:rFonts w:cs="Arial"/>
        </w:rPr>
      </w:pPr>
      <w:r>
        <w:rPr>
          <w:rFonts w:cs="Arial"/>
        </w:rPr>
        <w:t xml:space="preserve">Jess </w:t>
      </w:r>
      <w:proofErr w:type="spellStart"/>
      <w:r>
        <w:rPr>
          <w:rFonts w:cs="Arial"/>
        </w:rPr>
        <w:t>Kozarek</w:t>
      </w:r>
      <w:proofErr w:type="spellEnd"/>
      <w:r>
        <w:rPr>
          <w:rFonts w:cs="Arial"/>
        </w:rPr>
        <w:t>, Research Associate, Saint Anthony Falls Laboratory</w:t>
      </w:r>
    </w:p>
    <w:p w14:paraId="180BE89B" w14:textId="1BE74958" w:rsidR="006254D8" w:rsidRPr="002E4545" w:rsidRDefault="006254D8" w:rsidP="002E4545">
      <w:pPr>
        <w:pStyle w:val="Standard"/>
        <w:rPr>
          <w:rFonts w:cs="Arial"/>
        </w:rPr>
      </w:pPr>
      <w:r w:rsidRPr="002E4545">
        <w:rPr>
          <w:rFonts w:cs="Arial"/>
        </w:rPr>
        <w:t xml:space="preserve">Bernard </w:t>
      </w:r>
      <w:proofErr w:type="spellStart"/>
      <w:r w:rsidRPr="002E4545">
        <w:rPr>
          <w:rFonts w:cs="Arial"/>
        </w:rPr>
        <w:t>Seitman</w:t>
      </w:r>
      <w:proofErr w:type="spellEnd"/>
      <w:r w:rsidRPr="002E4545">
        <w:rPr>
          <w:rFonts w:cs="Arial"/>
        </w:rPr>
        <w:t>, Malacologist, Minnesota DNR</w:t>
      </w:r>
    </w:p>
    <w:p w14:paraId="78CBD18F" w14:textId="5974DD87" w:rsidR="000F4456" w:rsidRDefault="000F4456" w:rsidP="002E4545">
      <w:pPr>
        <w:pStyle w:val="Standard"/>
        <w:rPr>
          <w:rFonts w:cs="Arial"/>
        </w:rPr>
      </w:pPr>
      <w:r w:rsidRPr="002E4545">
        <w:rPr>
          <w:rFonts w:cs="Arial"/>
        </w:rPr>
        <w:t xml:space="preserve">Mark Hove, Research Associate, </w:t>
      </w:r>
      <w:r w:rsidR="00844629" w:rsidRPr="002E4545">
        <w:rPr>
          <w:rFonts w:cs="Arial"/>
        </w:rPr>
        <w:t>UMN Fisheries, Wil</w:t>
      </w:r>
      <w:r w:rsidR="0067774E">
        <w:rPr>
          <w:rFonts w:cs="Arial"/>
        </w:rPr>
        <w:t>dlife, and Conservation Biology</w:t>
      </w:r>
    </w:p>
    <w:p w14:paraId="156235C0" w14:textId="22D8D728" w:rsidR="001A1B7B" w:rsidRPr="002E4545" w:rsidRDefault="001A1B7B" w:rsidP="002E4545">
      <w:pPr>
        <w:pStyle w:val="Standard"/>
        <w:rPr>
          <w:rFonts w:cs="Arial"/>
        </w:rPr>
      </w:pPr>
      <w:r w:rsidRPr="001A1B7B">
        <w:rPr>
          <w:rFonts w:cs="Arial"/>
        </w:rPr>
        <w:t xml:space="preserve">Kristi </w:t>
      </w:r>
      <w:proofErr w:type="spellStart"/>
      <w:r w:rsidRPr="001A1B7B">
        <w:rPr>
          <w:rFonts w:cs="Arial"/>
        </w:rPr>
        <w:t>Pursell</w:t>
      </w:r>
      <w:proofErr w:type="spellEnd"/>
      <w:r>
        <w:rPr>
          <w:rFonts w:cs="Arial"/>
        </w:rPr>
        <w:t>, Executive Director, Cannon River Watershed Partnership</w:t>
      </w:r>
    </w:p>
    <w:p w14:paraId="2D80C6FB" w14:textId="77777777" w:rsidR="002D3180" w:rsidRPr="002E4545" w:rsidRDefault="002D3180" w:rsidP="002E4545">
      <w:pPr>
        <w:pStyle w:val="Standard"/>
        <w:rPr>
          <w:rFonts w:cs="Arial"/>
          <w:b/>
        </w:rPr>
      </w:pPr>
    </w:p>
    <w:p w14:paraId="405E573C" w14:textId="77777777" w:rsidR="002D3180" w:rsidRPr="002E4545" w:rsidRDefault="005B0DB1" w:rsidP="002E4545">
      <w:pPr>
        <w:pStyle w:val="Standard"/>
        <w:tabs>
          <w:tab w:val="left" w:pos="540"/>
        </w:tabs>
      </w:pPr>
      <w:r w:rsidRPr="002E4545">
        <w:rPr>
          <w:rFonts w:cs="Arial"/>
          <w:b/>
          <w:bCs/>
          <w:color w:val="000000"/>
        </w:rPr>
        <w:t xml:space="preserve">IV. </w:t>
      </w:r>
      <w:r w:rsidRPr="002E4545">
        <w:rPr>
          <w:rFonts w:cs="Arial"/>
          <w:b/>
          <w:bCs/>
          <w:color w:val="000000"/>
        </w:rPr>
        <w:tab/>
        <w:t>LONG-TERM IMPLEMENTATION AND FUNDING:</w:t>
      </w:r>
    </w:p>
    <w:p w14:paraId="7E4580A5" w14:textId="4DCB9B1A" w:rsidR="002D3180" w:rsidRPr="002E4545" w:rsidRDefault="005B0DB1" w:rsidP="002E4545">
      <w:pPr>
        <w:pStyle w:val="Standard"/>
        <w:tabs>
          <w:tab w:val="left" w:pos="7185"/>
        </w:tabs>
      </w:pPr>
      <w:r w:rsidRPr="002E4545">
        <w:rPr>
          <w:rFonts w:cs="Arial"/>
        </w:rPr>
        <w:t xml:space="preserve">Products of this research will be </w:t>
      </w:r>
      <w:r w:rsidR="00861C90">
        <w:rPr>
          <w:rFonts w:cs="Arial"/>
        </w:rPr>
        <w:t xml:space="preserve">freely </w:t>
      </w:r>
      <w:r w:rsidRPr="002E4545">
        <w:rPr>
          <w:rFonts w:cs="Arial"/>
        </w:rPr>
        <w:t>available to resource managers</w:t>
      </w:r>
      <w:r w:rsidR="00704B0C">
        <w:rPr>
          <w:rFonts w:cs="Arial"/>
        </w:rPr>
        <w:t xml:space="preserve"> and scientists</w:t>
      </w:r>
      <w:r w:rsidRPr="002E4545">
        <w:rPr>
          <w:rFonts w:cs="Arial"/>
        </w:rPr>
        <w:t xml:space="preserve"> to design management and restoration strategies. This work </w:t>
      </w:r>
      <w:r w:rsidR="007047CB" w:rsidRPr="002E4545">
        <w:rPr>
          <w:rFonts w:cs="Arial"/>
        </w:rPr>
        <w:t>builds on work by previous research groups</w:t>
      </w:r>
      <w:r w:rsidRPr="002E4545">
        <w:rPr>
          <w:rFonts w:cs="Arial"/>
        </w:rPr>
        <w:t>, including the DNR and research groups working in the St. Croix and Minnesota River watersheds.</w:t>
      </w:r>
      <w:r w:rsidR="00B6737A" w:rsidRPr="002E4545">
        <w:rPr>
          <w:rFonts w:cs="Arial"/>
        </w:rPr>
        <w:t xml:space="preserve"> The DNR has collected extensive population data but does not have the capacity to collect detailed environmental and hydraulic data. </w:t>
      </w:r>
      <w:r w:rsidR="000A18A5" w:rsidRPr="002E4545">
        <w:rPr>
          <w:rFonts w:cs="Arial"/>
        </w:rPr>
        <w:t xml:space="preserve">And the Cannon is distinct from the St. Croix and </w:t>
      </w:r>
      <w:r w:rsidR="00E504D0" w:rsidRPr="002E4545">
        <w:rPr>
          <w:rFonts w:cs="Arial"/>
        </w:rPr>
        <w:t xml:space="preserve">Minnesota watersheds </w:t>
      </w:r>
      <w:r w:rsidR="00A81304" w:rsidRPr="002E4545">
        <w:rPr>
          <w:rFonts w:cs="Arial"/>
        </w:rPr>
        <w:t>due to its geographic setting</w:t>
      </w:r>
      <w:r w:rsidR="00317128" w:rsidRPr="002E4545">
        <w:rPr>
          <w:rFonts w:cs="Arial"/>
        </w:rPr>
        <w:t xml:space="preserve"> (e.g. </w:t>
      </w:r>
      <w:r w:rsidR="00A430D4" w:rsidRPr="002E4545">
        <w:rPr>
          <w:rFonts w:cs="Arial"/>
        </w:rPr>
        <w:t>mixed bedrock/alluvial sections</w:t>
      </w:r>
      <w:r w:rsidR="00317128" w:rsidRPr="002E4545">
        <w:rPr>
          <w:rFonts w:cs="Arial"/>
        </w:rPr>
        <w:t>)</w:t>
      </w:r>
      <w:r w:rsidR="00E273FA" w:rsidRPr="002E4545">
        <w:rPr>
          <w:rFonts w:cs="Arial"/>
        </w:rPr>
        <w:t xml:space="preserve"> and species assemblages.</w:t>
      </w:r>
      <w:r w:rsidR="003970AD" w:rsidRPr="002E4545">
        <w:rPr>
          <w:rFonts w:cs="Arial"/>
        </w:rPr>
        <w:t xml:space="preserve"> Together, these datasets build a more comprehensive picture on the state of </w:t>
      </w:r>
      <w:r w:rsidR="00227279" w:rsidRPr="002E4545">
        <w:rPr>
          <w:rFonts w:cs="Arial"/>
        </w:rPr>
        <w:t xml:space="preserve">native </w:t>
      </w:r>
      <w:r w:rsidR="003970AD" w:rsidRPr="002E4545">
        <w:rPr>
          <w:rFonts w:cs="Arial"/>
        </w:rPr>
        <w:t>mussels in Minnesota.</w:t>
      </w:r>
      <w:r w:rsidRPr="002E4545">
        <w:rPr>
          <w:rFonts w:cs="Arial"/>
        </w:rPr>
        <w:t xml:space="preserve"> Discharge and sediment transport gages will remain in place after completion of the project to continue data collection and environmental monitoring in the watershed. For further scientific research, we will seek grants from the National Science Foundation, while management options based on our recommendations will be pursued by partners from the Cannon River Watershed Partnership and the MN DNR.</w:t>
      </w:r>
    </w:p>
    <w:p w14:paraId="040A3F7D" w14:textId="77777777" w:rsidR="002D3180" w:rsidRPr="002E4545" w:rsidRDefault="005B0DB1" w:rsidP="002E4545">
      <w:pPr>
        <w:pStyle w:val="Standard"/>
        <w:tabs>
          <w:tab w:val="left" w:pos="540"/>
        </w:tabs>
      </w:pPr>
      <w:bookmarkStart w:id="0" w:name="_GoBack"/>
      <w:bookmarkEnd w:id="0"/>
      <w:r w:rsidRPr="002E4545">
        <w:rPr>
          <w:rFonts w:cs="Arial"/>
          <w:b/>
          <w:bCs/>
          <w:color w:val="000000"/>
        </w:rPr>
        <w:t xml:space="preserve">V. </w:t>
      </w:r>
      <w:r w:rsidRPr="002E4545">
        <w:rPr>
          <w:rFonts w:cs="Arial"/>
          <w:b/>
          <w:bCs/>
          <w:color w:val="000000"/>
        </w:rPr>
        <w:tab/>
        <w:t>SEE ADDITIONAL PROPOSAL COMPONENTS:</w:t>
      </w:r>
    </w:p>
    <w:p w14:paraId="2F3D89FC" w14:textId="2947C61B" w:rsidR="002D3180" w:rsidRPr="002E4545" w:rsidRDefault="005B0DB1" w:rsidP="00D50377">
      <w:pPr>
        <w:pStyle w:val="Standard"/>
        <w:tabs>
          <w:tab w:val="left" w:pos="1080"/>
        </w:tabs>
      </w:pPr>
      <w:r w:rsidRPr="002E4545">
        <w:rPr>
          <w:rFonts w:cs="Arial"/>
          <w:b/>
          <w:iCs/>
          <w:color w:val="000000"/>
        </w:rPr>
        <w:t>A. Proposal Budget Spreadsheet</w:t>
      </w:r>
      <w:r w:rsidR="00EA3F46">
        <w:t xml:space="preserve">, </w:t>
      </w:r>
      <w:r w:rsidRPr="002E4545">
        <w:rPr>
          <w:rFonts w:cs="Arial"/>
          <w:b/>
          <w:iCs/>
          <w:color w:val="000000"/>
        </w:rPr>
        <w:t>B. Visual Component or Map</w:t>
      </w:r>
      <w:r w:rsidR="00EA3F46">
        <w:t xml:space="preserve">, </w:t>
      </w:r>
      <w:r w:rsidRPr="002E4545">
        <w:rPr>
          <w:rFonts w:cs="Arial"/>
          <w:b/>
          <w:iCs/>
          <w:color w:val="000000"/>
        </w:rPr>
        <w:t>F. Project Manager Qualifications and Organization Description</w:t>
      </w:r>
    </w:p>
    <w:sectPr w:rsidR="002D3180" w:rsidRPr="002E4545">
      <w:headerReference w:type="default" r:id="rId7"/>
      <w:footerReference w:type="default" r:id="rId8"/>
      <w:pgSz w:w="12240" w:h="15840"/>
      <w:pgMar w:top="1440" w:right="1080" w:bottom="1440" w:left="1080" w:header="64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20184" w14:textId="77777777" w:rsidR="00C34AE2" w:rsidRDefault="00C34AE2">
      <w:r>
        <w:separator/>
      </w:r>
    </w:p>
  </w:endnote>
  <w:endnote w:type="continuationSeparator" w:id="0">
    <w:p w14:paraId="2D7E31A1" w14:textId="77777777" w:rsidR="00C34AE2" w:rsidRDefault="00C3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0D14A" w14:textId="77777777" w:rsidR="00B77FBA" w:rsidRDefault="005B0DB1">
    <w:pPr>
      <w:pStyle w:val="Footer"/>
      <w:jc w:val="center"/>
    </w:pPr>
    <w:r>
      <w:fldChar w:fldCharType="begin"/>
    </w:r>
    <w:r>
      <w:instrText xml:space="preserve"> PAGE </w:instrText>
    </w:r>
    <w:r>
      <w:fldChar w:fldCharType="separate"/>
    </w:r>
    <w:r w:rsidR="008713DC">
      <w:rPr>
        <w:noProof/>
      </w:rPr>
      <w:t>2</w:t>
    </w:r>
    <w:r>
      <w:fldChar w:fldCharType="end"/>
    </w:r>
  </w:p>
  <w:p w14:paraId="07C9E931" w14:textId="77777777" w:rsidR="00B77FBA" w:rsidRDefault="00C34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D1B74" w14:textId="77777777" w:rsidR="00C34AE2" w:rsidRDefault="00C34AE2">
      <w:r>
        <w:rPr>
          <w:color w:val="000000"/>
        </w:rPr>
        <w:separator/>
      </w:r>
    </w:p>
  </w:footnote>
  <w:footnote w:type="continuationSeparator" w:id="0">
    <w:p w14:paraId="2A99B6EC" w14:textId="77777777" w:rsidR="00C34AE2" w:rsidRDefault="00C34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8" w:type="dxa"/>
      <w:tblLayout w:type="fixed"/>
      <w:tblCellMar>
        <w:left w:w="10" w:type="dxa"/>
        <w:right w:w="10" w:type="dxa"/>
      </w:tblCellMar>
      <w:tblLook w:val="04A0" w:firstRow="1" w:lastRow="0" w:firstColumn="1" w:lastColumn="0" w:noHBand="0" w:noVBand="1"/>
    </w:tblPr>
    <w:tblGrid>
      <w:gridCol w:w="1277"/>
      <w:gridCol w:w="9001"/>
    </w:tblGrid>
    <w:tr w:rsidR="00B77FBA" w14:paraId="2C4B6B83" w14:textId="77777777">
      <w:tc>
        <w:tcPr>
          <w:tcW w:w="1277" w:type="dxa"/>
          <w:tcMar>
            <w:top w:w="0" w:type="dxa"/>
            <w:left w:w="108" w:type="dxa"/>
            <w:bottom w:w="0" w:type="dxa"/>
            <w:right w:w="108" w:type="dxa"/>
          </w:tcMar>
        </w:tcPr>
        <w:p w14:paraId="0B07C578" w14:textId="77777777" w:rsidR="00B77FBA" w:rsidRDefault="005B0DB1">
          <w:pPr>
            <w:pStyle w:val="Header"/>
            <w:tabs>
              <w:tab w:val="clear" w:pos="4680"/>
              <w:tab w:val="clear" w:pos="9360"/>
            </w:tabs>
          </w:pPr>
          <w:r>
            <w:rPr>
              <w:noProof/>
            </w:rPr>
            <w:drawing>
              <wp:inline distT="0" distB="0" distL="0" distR="0" wp14:anchorId="166E073D" wp14:editId="16187944">
                <wp:extent cx="669980" cy="478048"/>
                <wp:effectExtent l="0" t="0" r="0" b="0"/>
                <wp:docPr id="1" name="Picture 1" descr="ENRTF logo_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669980" cy="478048"/>
                        </a:xfrm>
                        <a:prstGeom prst="rect">
                          <a:avLst/>
                        </a:prstGeom>
                        <a:noFill/>
                        <a:ln>
                          <a:noFill/>
                          <a:prstDash/>
                        </a:ln>
                      </pic:spPr>
                    </pic:pic>
                  </a:graphicData>
                </a:graphic>
              </wp:inline>
            </w:drawing>
          </w:r>
        </w:p>
      </w:tc>
      <w:tc>
        <w:tcPr>
          <w:tcW w:w="9000" w:type="dxa"/>
          <w:tcMar>
            <w:top w:w="0" w:type="dxa"/>
            <w:left w:w="108" w:type="dxa"/>
            <w:bottom w:w="0" w:type="dxa"/>
            <w:right w:w="108" w:type="dxa"/>
          </w:tcMar>
        </w:tcPr>
        <w:p w14:paraId="442F3415" w14:textId="77777777" w:rsidR="00B77FBA" w:rsidRDefault="005B0DB1">
          <w:pPr>
            <w:pStyle w:val="Standard"/>
          </w:pPr>
          <w:r>
            <w:rPr>
              <w:b/>
            </w:rPr>
            <w:t>Environment and Natural Resources Trust Fund (ENRTF)</w:t>
          </w:r>
        </w:p>
        <w:p w14:paraId="61EDD8E7" w14:textId="77777777" w:rsidR="00B77FBA" w:rsidRDefault="005B0DB1">
          <w:pPr>
            <w:pStyle w:val="Header"/>
          </w:pPr>
          <w:r>
            <w:rPr>
              <w:b/>
            </w:rPr>
            <w:t>2020 Main Proposal Template</w:t>
          </w:r>
        </w:p>
        <w:p w14:paraId="7CA6F67F" w14:textId="77777777" w:rsidR="00B77FBA" w:rsidRDefault="00C34AE2">
          <w:pPr>
            <w:pStyle w:val="Header"/>
          </w:pPr>
        </w:p>
      </w:tc>
    </w:tr>
  </w:tbl>
  <w:p w14:paraId="6468405A" w14:textId="77777777" w:rsidR="00B77FBA" w:rsidRDefault="00C34AE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DD9"/>
    <w:multiLevelType w:val="multilevel"/>
    <w:tmpl w:val="3B442092"/>
    <w:styleLink w:val="WWNum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BF2D54"/>
    <w:multiLevelType w:val="multilevel"/>
    <w:tmpl w:val="30D6F46A"/>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7B021A"/>
    <w:multiLevelType w:val="multilevel"/>
    <w:tmpl w:val="AE1CD922"/>
    <w:styleLink w:val="WWNum10"/>
    <w:lvl w:ilvl="0">
      <w:start w:val="1"/>
      <w:numFmt w:val="decimal"/>
      <w:lvlText w:val="%1."/>
      <w:lvlJc w:val="left"/>
      <w:pPr>
        <w:ind w:left="353" w:hanging="360"/>
      </w:pPr>
      <w:rPr>
        <w:sz w:val="22"/>
      </w:rPr>
    </w:lvl>
    <w:lvl w:ilvl="1">
      <w:numFmt w:val="bullet"/>
      <w:lvlText w:val="o"/>
      <w:lvlJc w:val="left"/>
      <w:pPr>
        <w:ind w:left="1073" w:hanging="360"/>
      </w:pPr>
      <w:rPr>
        <w:rFonts w:ascii="Courier New" w:hAnsi="Courier New" w:cs="Courier New"/>
      </w:rPr>
    </w:lvl>
    <w:lvl w:ilvl="2">
      <w:numFmt w:val="bullet"/>
      <w:lvlText w:val=""/>
      <w:lvlJc w:val="left"/>
      <w:pPr>
        <w:ind w:left="1793" w:hanging="360"/>
      </w:pPr>
      <w:rPr>
        <w:rFonts w:ascii="Wingdings" w:hAnsi="Wingdings"/>
      </w:rPr>
    </w:lvl>
    <w:lvl w:ilvl="3">
      <w:numFmt w:val="bullet"/>
      <w:lvlText w:val=""/>
      <w:lvlJc w:val="left"/>
      <w:pPr>
        <w:ind w:left="2513" w:hanging="360"/>
      </w:pPr>
      <w:rPr>
        <w:rFonts w:ascii="Symbol" w:hAnsi="Symbol"/>
      </w:rPr>
    </w:lvl>
    <w:lvl w:ilvl="4">
      <w:numFmt w:val="bullet"/>
      <w:lvlText w:val="o"/>
      <w:lvlJc w:val="left"/>
      <w:pPr>
        <w:ind w:left="3233" w:hanging="360"/>
      </w:pPr>
      <w:rPr>
        <w:rFonts w:ascii="Courier New" w:hAnsi="Courier New" w:cs="Courier New"/>
      </w:rPr>
    </w:lvl>
    <w:lvl w:ilvl="5">
      <w:numFmt w:val="bullet"/>
      <w:lvlText w:val=""/>
      <w:lvlJc w:val="left"/>
      <w:pPr>
        <w:ind w:left="3953" w:hanging="360"/>
      </w:pPr>
      <w:rPr>
        <w:rFonts w:ascii="Wingdings" w:hAnsi="Wingdings"/>
      </w:rPr>
    </w:lvl>
    <w:lvl w:ilvl="6">
      <w:numFmt w:val="bullet"/>
      <w:lvlText w:val=""/>
      <w:lvlJc w:val="left"/>
      <w:pPr>
        <w:ind w:left="4673" w:hanging="360"/>
      </w:pPr>
      <w:rPr>
        <w:rFonts w:ascii="Symbol" w:hAnsi="Symbol"/>
      </w:rPr>
    </w:lvl>
    <w:lvl w:ilvl="7">
      <w:numFmt w:val="bullet"/>
      <w:lvlText w:val="o"/>
      <w:lvlJc w:val="left"/>
      <w:pPr>
        <w:ind w:left="5393" w:hanging="360"/>
      </w:pPr>
      <w:rPr>
        <w:rFonts w:ascii="Courier New" w:hAnsi="Courier New" w:cs="Courier New"/>
      </w:rPr>
    </w:lvl>
    <w:lvl w:ilvl="8">
      <w:numFmt w:val="bullet"/>
      <w:lvlText w:val=""/>
      <w:lvlJc w:val="left"/>
      <w:pPr>
        <w:ind w:left="6113" w:hanging="360"/>
      </w:pPr>
      <w:rPr>
        <w:rFonts w:ascii="Wingdings" w:hAnsi="Wingdings"/>
      </w:rPr>
    </w:lvl>
  </w:abstractNum>
  <w:abstractNum w:abstractNumId="3" w15:restartNumberingAfterBreak="0">
    <w:nsid w:val="21027B73"/>
    <w:multiLevelType w:val="multilevel"/>
    <w:tmpl w:val="618EEAEA"/>
    <w:styleLink w:val="WWNum4"/>
    <w:lvl w:ilvl="0">
      <w:numFmt w:val="bullet"/>
      <w:lvlText w:val=""/>
      <w:lvlJc w:val="left"/>
      <w:pPr>
        <w:ind w:left="713" w:hanging="360"/>
      </w:pPr>
      <w:rPr>
        <w:rFonts w:ascii="Symbol" w:hAnsi="Symbol"/>
      </w:rPr>
    </w:lvl>
    <w:lvl w:ilvl="1">
      <w:numFmt w:val="bullet"/>
      <w:lvlText w:val="o"/>
      <w:lvlJc w:val="left"/>
      <w:pPr>
        <w:ind w:left="1433" w:hanging="360"/>
      </w:pPr>
      <w:rPr>
        <w:rFonts w:ascii="Courier New" w:hAnsi="Courier New" w:cs="Courier New"/>
      </w:rPr>
    </w:lvl>
    <w:lvl w:ilvl="2">
      <w:numFmt w:val="bullet"/>
      <w:lvlText w:val=""/>
      <w:lvlJc w:val="left"/>
      <w:pPr>
        <w:ind w:left="2153" w:hanging="360"/>
      </w:pPr>
      <w:rPr>
        <w:rFonts w:ascii="Wingdings" w:hAnsi="Wingdings"/>
      </w:rPr>
    </w:lvl>
    <w:lvl w:ilvl="3">
      <w:numFmt w:val="bullet"/>
      <w:lvlText w:val=""/>
      <w:lvlJc w:val="left"/>
      <w:pPr>
        <w:ind w:left="2873" w:hanging="360"/>
      </w:pPr>
      <w:rPr>
        <w:rFonts w:ascii="Symbol" w:hAnsi="Symbol"/>
      </w:rPr>
    </w:lvl>
    <w:lvl w:ilvl="4">
      <w:numFmt w:val="bullet"/>
      <w:lvlText w:val="o"/>
      <w:lvlJc w:val="left"/>
      <w:pPr>
        <w:ind w:left="3593" w:hanging="360"/>
      </w:pPr>
      <w:rPr>
        <w:rFonts w:ascii="Courier New" w:hAnsi="Courier New" w:cs="Courier New"/>
      </w:rPr>
    </w:lvl>
    <w:lvl w:ilvl="5">
      <w:numFmt w:val="bullet"/>
      <w:lvlText w:val=""/>
      <w:lvlJc w:val="left"/>
      <w:pPr>
        <w:ind w:left="4313" w:hanging="360"/>
      </w:pPr>
      <w:rPr>
        <w:rFonts w:ascii="Wingdings" w:hAnsi="Wingdings"/>
      </w:rPr>
    </w:lvl>
    <w:lvl w:ilvl="6">
      <w:numFmt w:val="bullet"/>
      <w:lvlText w:val=""/>
      <w:lvlJc w:val="left"/>
      <w:pPr>
        <w:ind w:left="5033" w:hanging="360"/>
      </w:pPr>
      <w:rPr>
        <w:rFonts w:ascii="Symbol" w:hAnsi="Symbol"/>
      </w:rPr>
    </w:lvl>
    <w:lvl w:ilvl="7">
      <w:numFmt w:val="bullet"/>
      <w:lvlText w:val="o"/>
      <w:lvlJc w:val="left"/>
      <w:pPr>
        <w:ind w:left="5753" w:hanging="360"/>
      </w:pPr>
      <w:rPr>
        <w:rFonts w:ascii="Courier New" w:hAnsi="Courier New" w:cs="Courier New"/>
      </w:rPr>
    </w:lvl>
    <w:lvl w:ilvl="8">
      <w:numFmt w:val="bullet"/>
      <w:lvlText w:val=""/>
      <w:lvlJc w:val="left"/>
      <w:pPr>
        <w:ind w:left="6473" w:hanging="360"/>
      </w:pPr>
      <w:rPr>
        <w:rFonts w:ascii="Wingdings" w:hAnsi="Wingdings"/>
      </w:rPr>
    </w:lvl>
  </w:abstractNum>
  <w:abstractNum w:abstractNumId="4" w15:restartNumberingAfterBreak="0">
    <w:nsid w:val="26110353"/>
    <w:multiLevelType w:val="multilevel"/>
    <w:tmpl w:val="6860A8D2"/>
    <w:styleLink w:val="WWNum9"/>
    <w:lvl w:ilvl="0">
      <w:start w:val="1"/>
      <w:numFmt w:val="decimal"/>
      <w:lvlText w:val="%1."/>
      <w:lvlJc w:val="left"/>
      <w:pPr>
        <w:ind w:left="353" w:hanging="360"/>
      </w:pPr>
      <w:rPr>
        <w:sz w:val="22"/>
      </w:rPr>
    </w:lvl>
    <w:lvl w:ilvl="1">
      <w:numFmt w:val="bullet"/>
      <w:lvlText w:val="o"/>
      <w:lvlJc w:val="left"/>
      <w:pPr>
        <w:ind w:left="1073" w:hanging="360"/>
      </w:pPr>
      <w:rPr>
        <w:rFonts w:ascii="Courier New" w:hAnsi="Courier New" w:cs="Courier New"/>
      </w:rPr>
    </w:lvl>
    <w:lvl w:ilvl="2">
      <w:numFmt w:val="bullet"/>
      <w:lvlText w:val=""/>
      <w:lvlJc w:val="left"/>
      <w:pPr>
        <w:ind w:left="1793" w:hanging="360"/>
      </w:pPr>
      <w:rPr>
        <w:rFonts w:ascii="Wingdings" w:hAnsi="Wingdings"/>
      </w:rPr>
    </w:lvl>
    <w:lvl w:ilvl="3">
      <w:numFmt w:val="bullet"/>
      <w:lvlText w:val=""/>
      <w:lvlJc w:val="left"/>
      <w:pPr>
        <w:ind w:left="2513" w:hanging="360"/>
      </w:pPr>
      <w:rPr>
        <w:rFonts w:ascii="Symbol" w:hAnsi="Symbol"/>
      </w:rPr>
    </w:lvl>
    <w:lvl w:ilvl="4">
      <w:numFmt w:val="bullet"/>
      <w:lvlText w:val="o"/>
      <w:lvlJc w:val="left"/>
      <w:pPr>
        <w:ind w:left="3233" w:hanging="360"/>
      </w:pPr>
      <w:rPr>
        <w:rFonts w:ascii="Courier New" w:hAnsi="Courier New" w:cs="Courier New"/>
      </w:rPr>
    </w:lvl>
    <w:lvl w:ilvl="5">
      <w:numFmt w:val="bullet"/>
      <w:lvlText w:val=""/>
      <w:lvlJc w:val="left"/>
      <w:pPr>
        <w:ind w:left="3953" w:hanging="360"/>
      </w:pPr>
      <w:rPr>
        <w:rFonts w:ascii="Wingdings" w:hAnsi="Wingdings"/>
      </w:rPr>
    </w:lvl>
    <w:lvl w:ilvl="6">
      <w:numFmt w:val="bullet"/>
      <w:lvlText w:val=""/>
      <w:lvlJc w:val="left"/>
      <w:pPr>
        <w:ind w:left="4673" w:hanging="360"/>
      </w:pPr>
      <w:rPr>
        <w:rFonts w:ascii="Symbol" w:hAnsi="Symbol"/>
      </w:rPr>
    </w:lvl>
    <w:lvl w:ilvl="7">
      <w:numFmt w:val="bullet"/>
      <w:lvlText w:val="o"/>
      <w:lvlJc w:val="left"/>
      <w:pPr>
        <w:ind w:left="5393" w:hanging="360"/>
      </w:pPr>
      <w:rPr>
        <w:rFonts w:ascii="Courier New" w:hAnsi="Courier New" w:cs="Courier New"/>
      </w:rPr>
    </w:lvl>
    <w:lvl w:ilvl="8">
      <w:numFmt w:val="bullet"/>
      <w:lvlText w:val=""/>
      <w:lvlJc w:val="left"/>
      <w:pPr>
        <w:ind w:left="6113" w:hanging="360"/>
      </w:pPr>
      <w:rPr>
        <w:rFonts w:ascii="Wingdings" w:hAnsi="Wingdings"/>
      </w:rPr>
    </w:lvl>
  </w:abstractNum>
  <w:abstractNum w:abstractNumId="5" w15:restartNumberingAfterBreak="0">
    <w:nsid w:val="276E5627"/>
    <w:multiLevelType w:val="multilevel"/>
    <w:tmpl w:val="DA6E604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2F50D02"/>
    <w:multiLevelType w:val="multilevel"/>
    <w:tmpl w:val="5E5E908C"/>
    <w:styleLink w:val="WWNum13"/>
    <w:lvl w:ilvl="0">
      <w:numFmt w:val="bullet"/>
      <w:lvlText w:val="o"/>
      <w:lvlJc w:val="left"/>
      <w:pPr>
        <w:ind w:left="360" w:hanging="360"/>
      </w:pPr>
      <w:rPr>
        <w:rFonts w:ascii="Courier New" w:hAnsi="Courier New"/>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761161"/>
    <w:multiLevelType w:val="multilevel"/>
    <w:tmpl w:val="BE4E59F4"/>
    <w:styleLink w:val="WWNum1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95E4EA6"/>
    <w:multiLevelType w:val="multilevel"/>
    <w:tmpl w:val="1E10C1D6"/>
    <w:styleLink w:val="WWNum5"/>
    <w:lvl w:ilvl="0">
      <w:numFmt w:val="bullet"/>
      <w:lvlText w:val=""/>
      <w:lvlJc w:val="left"/>
      <w:pPr>
        <w:ind w:left="353" w:hanging="360"/>
      </w:pPr>
      <w:rPr>
        <w:rFonts w:ascii="Wingdings" w:eastAsia="Calibri" w:hAnsi="Wingdings" w:cs="Times New Roman"/>
        <w:sz w:val="12"/>
      </w:rPr>
    </w:lvl>
    <w:lvl w:ilvl="1">
      <w:numFmt w:val="bullet"/>
      <w:lvlText w:val="o"/>
      <w:lvlJc w:val="left"/>
      <w:pPr>
        <w:ind w:left="1073" w:hanging="360"/>
      </w:pPr>
      <w:rPr>
        <w:rFonts w:ascii="Courier New" w:hAnsi="Courier New" w:cs="Courier New"/>
      </w:rPr>
    </w:lvl>
    <w:lvl w:ilvl="2">
      <w:numFmt w:val="bullet"/>
      <w:lvlText w:val=""/>
      <w:lvlJc w:val="left"/>
      <w:pPr>
        <w:ind w:left="1793" w:hanging="360"/>
      </w:pPr>
      <w:rPr>
        <w:rFonts w:ascii="Wingdings" w:hAnsi="Wingdings"/>
      </w:rPr>
    </w:lvl>
    <w:lvl w:ilvl="3">
      <w:numFmt w:val="bullet"/>
      <w:lvlText w:val=""/>
      <w:lvlJc w:val="left"/>
      <w:pPr>
        <w:ind w:left="2513" w:hanging="360"/>
      </w:pPr>
      <w:rPr>
        <w:rFonts w:ascii="Symbol" w:hAnsi="Symbol"/>
      </w:rPr>
    </w:lvl>
    <w:lvl w:ilvl="4">
      <w:numFmt w:val="bullet"/>
      <w:lvlText w:val="o"/>
      <w:lvlJc w:val="left"/>
      <w:pPr>
        <w:ind w:left="3233" w:hanging="360"/>
      </w:pPr>
      <w:rPr>
        <w:rFonts w:ascii="Courier New" w:hAnsi="Courier New" w:cs="Courier New"/>
      </w:rPr>
    </w:lvl>
    <w:lvl w:ilvl="5">
      <w:numFmt w:val="bullet"/>
      <w:lvlText w:val=""/>
      <w:lvlJc w:val="left"/>
      <w:pPr>
        <w:ind w:left="3953" w:hanging="360"/>
      </w:pPr>
      <w:rPr>
        <w:rFonts w:ascii="Wingdings" w:hAnsi="Wingdings"/>
      </w:rPr>
    </w:lvl>
    <w:lvl w:ilvl="6">
      <w:numFmt w:val="bullet"/>
      <w:lvlText w:val=""/>
      <w:lvlJc w:val="left"/>
      <w:pPr>
        <w:ind w:left="4673" w:hanging="360"/>
      </w:pPr>
      <w:rPr>
        <w:rFonts w:ascii="Symbol" w:hAnsi="Symbol"/>
      </w:rPr>
    </w:lvl>
    <w:lvl w:ilvl="7">
      <w:numFmt w:val="bullet"/>
      <w:lvlText w:val="o"/>
      <w:lvlJc w:val="left"/>
      <w:pPr>
        <w:ind w:left="5393" w:hanging="360"/>
      </w:pPr>
      <w:rPr>
        <w:rFonts w:ascii="Courier New" w:hAnsi="Courier New" w:cs="Courier New"/>
      </w:rPr>
    </w:lvl>
    <w:lvl w:ilvl="8">
      <w:numFmt w:val="bullet"/>
      <w:lvlText w:val=""/>
      <w:lvlJc w:val="left"/>
      <w:pPr>
        <w:ind w:left="6113" w:hanging="360"/>
      </w:pPr>
      <w:rPr>
        <w:rFonts w:ascii="Wingdings" w:hAnsi="Wingdings"/>
      </w:rPr>
    </w:lvl>
  </w:abstractNum>
  <w:abstractNum w:abstractNumId="9" w15:restartNumberingAfterBreak="0">
    <w:nsid w:val="4CAE71A3"/>
    <w:multiLevelType w:val="multilevel"/>
    <w:tmpl w:val="9D36C9CE"/>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1DC1B84"/>
    <w:multiLevelType w:val="multilevel"/>
    <w:tmpl w:val="88362374"/>
    <w:styleLink w:val="WWNum15"/>
    <w:lvl w:ilvl="0">
      <w:numFmt w:val="bullet"/>
      <w:lvlText w:val="o"/>
      <w:lvlJc w:val="left"/>
      <w:pPr>
        <w:ind w:left="360" w:hanging="360"/>
      </w:pPr>
      <w:rPr>
        <w:rFonts w:ascii="Courier New" w:hAnsi="Courier New"/>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B1213D6"/>
    <w:multiLevelType w:val="multilevel"/>
    <w:tmpl w:val="6492B70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981964"/>
    <w:multiLevelType w:val="multilevel"/>
    <w:tmpl w:val="73C00AD0"/>
    <w:styleLink w:val="WWNum7"/>
    <w:lvl w:ilvl="0">
      <w:numFmt w:val="bullet"/>
      <w:lvlText w:val=""/>
      <w:lvlJc w:val="left"/>
      <w:pPr>
        <w:ind w:left="720" w:hanging="360"/>
      </w:pPr>
      <w:rPr>
        <w:rFonts w:ascii="Wingdings" w:eastAsia="Calibri" w:hAnsi="Wingdings" w:cs="Times New Roman"/>
        <w:sz w:val="1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C675C9"/>
    <w:multiLevelType w:val="multilevel"/>
    <w:tmpl w:val="EA9E53B6"/>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73B42442"/>
    <w:multiLevelType w:val="multilevel"/>
    <w:tmpl w:val="71A0A76E"/>
    <w:styleLink w:val="WWNum14"/>
    <w:lvl w:ilvl="0">
      <w:numFmt w:val="bullet"/>
      <w:lvlText w:val="o"/>
      <w:lvlJc w:val="left"/>
      <w:pPr>
        <w:ind w:left="360" w:hanging="360"/>
      </w:pPr>
      <w:rPr>
        <w:rFonts w:ascii="Courier New" w:hAnsi="Courier New"/>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F3E37DB"/>
    <w:multiLevelType w:val="multilevel"/>
    <w:tmpl w:val="3496C55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0"/>
  </w:num>
  <w:num w:numId="4">
    <w:abstractNumId w:val="15"/>
  </w:num>
  <w:num w:numId="5">
    <w:abstractNumId w:val="3"/>
  </w:num>
  <w:num w:numId="6">
    <w:abstractNumId w:val="8"/>
  </w:num>
  <w:num w:numId="7">
    <w:abstractNumId w:val="11"/>
  </w:num>
  <w:num w:numId="8">
    <w:abstractNumId w:val="12"/>
  </w:num>
  <w:num w:numId="9">
    <w:abstractNumId w:val="1"/>
  </w:num>
  <w:num w:numId="10">
    <w:abstractNumId w:val="4"/>
  </w:num>
  <w:num w:numId="11">
    <w:abstractNumId w:val="2"/>
  </w:num>
  <w:num w:numId="12">
    <w:abstractNumId w:val="9"/>
  </w:num>
  <w:num w:numId="13">
    <w:abstractNumId w:val="7"/>
  </w:num>
  <w:num w:numId="14">
    <w:abstractNumId w:val="6"/>
  </w:num>
  <w:num w:numId="15">
    <w:abstractNumId w:val="1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80"/>
    <w:rsid w:val="00024100"/>
    <w:rsid w:val="00051F60"/>
    <w:rsid w:val="00063305"/>
    <w:rsid w:val="0009617F"/>
    <w:rsid w:val="000A18A5"/>
    <w:rsid w:val="000C126F"/>
    <w:rsid w:val="000C3A0B"/>
    <w:rsid w:val="000C5947"/>
    <w:rsid w:val="000F4456"/>
    <w:rsid w:val="000F480E"/>
    <w:rsid w:val="000F5446"/>
    <w:rsid w:val="00106C3C"/>
    <w:rsid w:val="00106DA2"/>
    <w:rsid w:val="00112E87"/>
    <w:rsid w:val="001268BF"/>
    <w:rsid w:val="0014583F"/>
    <w:rsid w:val="00145F8A"/>
    <w:rsid w:val="0016087C"/>
    <w:rsid w:val="001807DF"/>
    <w:rsid w:val="001A1B7B"/>
    <w:rsid w:val="001B4C71"/>
    <w:rsid w:val="001B54AC"/>
    <w:rsid w:val="001B58A3"/>
    <w:rsid w:val="001C285D"/>
    <w:rsid w:val="001C370E"/>
    <w:rsid w:val="001D1E70"/>
    <w:rsid w:val="001E333B"/>
    <w:rsid w:val="001F5B65"/>
    <w:rsid w:val="0020364B"/>
    <w:rsid w:val="00227279"/>
    <w:rsid w:val="00227A28"/>
    <w:rsid w:val="002370FF"/>
    <w:rsid w:val="00242D24"/>
    <w:rsid w:val="0024365C"/>
    <w:rsid w:val="00293851"/>
    <w:rsid w:val="002A6913"/>
    <w:rsid w:val="002D3180"/>
    <w:rsid w:val="002E3D61"/>
    <w:rsid w:val="002E4545"/>
    <w:rsid w:val="002E6C06"/>
    <w:rsid w:val="00303C71"/>
    <w:rsid w:val="00305292"/>
    <w:rsid w:val="00317128"/>
    <w:rsid w:val="003339FA"/>
    <w:rsid w:val="00356786"/>
    <w:rsid w:val="0037556E"/>
    <w:rsid w:val="00383E36"/>
    <w:rsid w:val="00394CC3"/>
    <w:rsid w:val="003970AD"/>
    <w:rsid w:val="003C2368"/>
    <w:rsid w:val="003F6951"/>
    <w:rsid w:val="0041070C"/>
    <w:rsid w:val="00416AF1"/>
    <w:rsid w:val="004209E3"/>
    <w:rsid w:val="00440545"/>
    <w:rsid w:val="00440584"/>
    <w:rsid w:val="00446BFF"/>
    <w:rsid w:val="00490EA6"/>
    <w:rsid w:val="004A6C56"/>
    <w:rsid w:val="004A76F9"/>
    <w:rsid w:val="004B4527"/>
    <w:rsid w:val="004C5F3F"/>
    <w:rsid w:val="004C7D65"/>
    <w:rsid w:val="004D25DA"/>
    <w:rsid w:val="004D64EB"/>
    <w:rsid w:val="004E688D"/>
    <w:rsid w:val="0050343B"/>
    <w:rsid w:val="00505AC7"/>
    <w:rsid w:val="0052581F"/>
    <w:rsid w:val="0055042D"/>
    <w:rsid w:val="00552BA6"/>
    <w:rsid w:val="005532F7"/>
    <w:rsid w:val="0057135C"/>
    <w:rsid w:val="005751BE"/>
    <w:rsid w:val="0059716A"/>
    <w:rsid w:val="005B0DB1"/>
    <w:rsid w:val="005D6DF8"/>
    <w:rsid w:val="005F1EF4"/>
    <w:rsid w:val="006014FE"/>
    <w:rsid w:val="006118B9"/>
    <w:rsid w:val="006254D8"/>
    <w:rsid w:val="006656B2"/>
    <w:rsid w:val="006715D1"/>
    <w:rsid w:val="0067774E"/>
    <w:rsid w:val="0069408D"/>
    <w:rsid w:val="006A6805"/>
    <w:rsid w:val="006F1631"/>
    <w:rsid w:val="006F26E1"/>
    <w:rsid w:val="007047CB"/>
    <w:rsid w:val="00704A71"/>
    <w:rsid w:val="00704B0C"/>
    <w:rsid w:val="00725BAE"/>
    <w:rsid w:val="007570C9"/>
    <w:rsid w:val="00766337"/>
    <w:rsid w:val="0077161C"/>
    <w:rsid w:val="007C27A1"/>
    <w:rsid w:val="007D24B4"/>
    <w:rsid w:val="00844629"/>
    <w:rsid w:val="00844C62"/>
    <w:rsid w:val="00861C90"/>
    <w:rsid w:val="00864CBE"/>
    <w:rsid w:val="0087051F"/>
    <w:rsid w:val="008713DC"/>
    <w:rsid w:val="00891437"/>
    <w:rsid w:val="008A1A86"/>
    <w:rsid w:val="008F318D"/>
    <w:rsid w:val="009244CA"/>
    <w:rsid w:val="00996980"/>
    <w:rsid w:val="009A3978"/>
    <w:rsid w:val="009C68A7"/>
    <w:rsid w:val="009F6A1F"/>
    <w:rsid w:val="00A031E1"/>
    <w:rsid w:val="00A03F32"/>
    <w:rsid w:val="00A25024"/>
    <w:rsid w:val="00A32137"/>
    <w:rsid w:val="00A430D4"/>
    <w:rsid w:val="00A647D3"/>
    <w:rsid w:val="00A706AA"/>
    <w:rsid w:val="00A81304"/>
    <w:rsid w:val="00A96F17"/>
    <w:rsid w:val="00AB3D5A"/>
    <w:rsid w:val="00AC438A"/>
    <w:rsid w:val="00AD6EFC"/>
    <w:rsid w:val="00AF20B5"/>
    <w:rsid w:val="00AF7318"/>
    <w:rsid w:val="00B20AC6"/>
    <w:rsid w:val="00B244BD"/>
    <w:rsid w:val="00B47BFB"/>
    <w:rsid w:val="00B6737A"/>
    <w:rsid w:val="00B756FE"/>
    <w:rsid w:val="00B7610C"/>
    <w:rsid w:val="00BA1DA7"/>
    <w:rsid w:val="00C10BDC"/>
    <w:rsid w:val="00C208F6"/>
    <w:rsid w:val="00C34AE2"/>
    <w:rsid w:val="00C42A6F"/>
    <w:rsid w:val="00C6135A"/>
    <w:rsid w:val="00C63647"/>
    <w:rsid w:val="00C80B22"/>
    <w:rsid w:val="00C877CE"/>
    <w:rsid w:val="00C90764"/>
    <w:rsid w:val="00CA2E1D"/>
    <w:rsid w:val="00CA7273"/>
    <w:rsid w:val="00CA7C92"/>
    <w:rsid w:val="00CB2537"/>
    <w:rsid w:val="00CB25DD"/>
    <w:rsid w:val="00CD2339"/>
    <w:rsid w:val="00CE0F54"/>
    <w:rsid w:val="00CE34C2"/>
    <w:rsid w:val="00D11F3B"/>
    <w:rsid w:val="00D17400"/>
    <w:rsid w:val="00D25AA9"/>
    <w:rsid w:val="00D25DB8"/>
    <w:rsid w:val="00D345AB"/>
    <w:rsid w:val="00D41E2C"/>
    <w:rsid w:val="00D50377"/>
    <w:rsid w:val="00D85CE5"/>
    <w:rsid w:val="00D950D2"/>
    <w:rsid w:val="00D9586D"/>
    <w:rsid w:val="00DB251C"/>
    <w:rsid w:val="00DC44C8"/>
    <w:rsid w:val="00DD30D7"/>
    <w:rsid w:val="00DD798A"/>
    <w:rsid w:val="00DE386F"/>
    <w:rsid w:val="00DE6835"/>
    <w:rsid w:val="00DF26E1"/>
    <w:rsid w:val="00E045FC"/>
    <w:rsid w:val="00E273FA"/>
    <w:rsid w:val="00E3329B"/>
    <w:rsid w:val="00E3419D"/>
    <w:rsid w:val="00E453B6"/>
    <w:rsid w:val="00E456DC"/>
    <w:rsid w:val="00E504D0"/>
    <w:rsid w:val="00E541E5"/>
    <w:rsid w:val="00E608FF"/>
    <w:rsid w:val="00E733D7"/>
    <w:rsid w:val="00E869F3"/>
    <w:rsid w:val="00EA3F46"/>
    <w:rsid w:val="00EB4BCB"/>
    <w:rsid w:val="00EC507E"/>
    <w:rsid w:val="00ED3AB9"/>
    <w:rsid w:val="00EE54CB"/>
    <w:rsid w:val="00EF2ED5"/>
    <w:rsid w:val="00EF7418"/>
    <w:rsid w:val="00F06313"/>
    <w:rsid w:val="00F60AD7"/>
    <w:rsid w:val="00F64C2C"/>
    <w:rsid w:val="00F64E3B"/>
    <w:rsid w:val="00F9721E"/>
    <w:rsid w:val="00FA0BFF"/>
    <w:rsid w:val="00FA6498"/>
    <w:rsid w:val="00FB3380"/>
    <w:rsid w:val="00FD0050"/>
    <w:rsid w:val="00FD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40D7"/>
  <w15:docId w15:val="{C865F0AD-9E39-450D-B07B-B19CC14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Cs w:val="22"/>
    </w:rPr>
  </w:style>
  <w:style w:type="paragraph" w:customStyle="1" w:styleId="Heading">
    <w:name w:val="Heading"/>
    <w:basedOn w:val="Standard"/>
    <w:next w:val="Textbody"/>
    <w:pPr>
      <w:keepNext/>
      <w:spacing w:before="240" w:after="120"/>
    </w:pPr>
    <w:rPr>
      <w:rFonts w:ascii="Liberation Sans" w:eastAsia="Noto Sans CJK SC Regular"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sz w:val="24"/>
    </w:rPr>
  </w:style>
  <w:style w:type="paragraph" w:styleId="Caption">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ListParagraph">
    <w:name w:val="List Paragraph"/>
    <w:basedOn w:val="Standard"/>
    <w:pPr>
      <w:ind w:left="720"/>
    </w:pPr>
  </w:style>
  <w:style w:type="paragraph" w:styleId="Header">
    <w:name w:val="header"/>
    <w:basedOn w:val="Standard"/>
    <w:pPr>
      <w:tabs>
        <w:tab w:val="center" w:pos="4680"/>
        <w:tab w:val="right" w:pos="9360"/>
      </w:tabs>
    </w:pPr>
  </w:style>
  <w:style w:type="paragraph" w:styleId="Footer">
    <w:name w:val="footer"/>
    <w:basedOn w:val="Standard"/>
    <w:pPr>
      <w:tabs>
        <w:tab w:val="center" w:pos="4680"/>
        <w:tab w:val="right" w:pos="9360"/>
      </w:tabs>
    </w:pPr>
  </w:style>
  <w:style w:type="paragraph" w:customStyle="1" w:styleId="TOCtitle">
    <w:name w:val="TOC title"/>
    <w:pPr>
      <w:widowControl/>
      <w:spacing w:after="360" w:line="280" w:lineRule="atLeast"/>
    </w:pPr>
    <w:rPr>
      <w:rFonts w:ascii="Arial Black" w:eastAsia="Times New Roman" w:hAnsi="Arial Black" w:cs="Arial Black"/>
      <w:color w:val="000000"/>
      <w:sz w:val="24"/>
      <w:u w:val="single"/>
    </w:rPr>
  </w:style>
  <w:style w:type="paragraph" w:styleId="BalloonText">
    <w:name w:val="Balloon Text"/>
    <w:basedOn w:val="Standard"/>
    <w:rPr>
      <w:rFonts w:ascii="Tahoma" w:eastAsia="Tahoma" w:hAnsi="Tahoma" w:cs="Tahoma"/>
      <w:sz w:val="16"/>
      <w:szCs w:val="16"/>
    </w:rPr>
  </w:style>
  <w:style w:type="paragraph" w:customStyle="1" w:styleId="Bodycopy">
    <w:name w:val="Body copy"/>
    <w:pPr>
      <w:widowControl/>
      <w:spacing w:before="120" w:line="280" w:lineRule="atLeast"/>
    </w:pPr>
    <w:rPr>
      <w:rFonts w:ascii="Arial" w:eastAsia="Times New Roman" w:hAnsi="Arial" w:cs="Arial"/>
      <w:color w:val="000000"/>
      <w:kern w:val="3"/>
    </w:rPr>
  </w:style>
  <w:style w:type="paragraph" w:customStyle="1" w:styleId="Default">
    <w:name w:val="Default"/>
    <w:pPr>
      <w:widowControl/>
    </w:pPr>
    <w:rPr>
      <w:rFonts w:cs="Calibri"/>
      <w:color w:val="000000"/>
      <w:sz w:val="24"/>
      <w:szCs w:val="24"/>
    </w:rPr>
  </w:style>
  <w:style w:type="character" w:customStyle="1" w:styleId="HeaderChar">
    <w:name w:val="Header Char"/>
    <w:rPr>
      <w:sz w:val="22"/>
      <w:szCs w:val="22"/>
    </w:rPr>
  </w:style>
  <w:style w:type="character" w:customStyle="1" w:styleId="FooterChar">
    <w:name w:val="Footer Char"/>
    <w:rPr>
      <w:sz w:val="22"/>
      <w:szCs w:val="22"/>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eastAsia="Calibri" w:cs="Times New Roman"/>
      <w:sz w:val="12"/>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Times New Roman"/>
      <w:sz w:val="12"/>
    </w:rPr>
  </w:style>
  <w:style w:type="character" w:customStyle="1" w:styleId="ListLabel12">
    <w:name w:val="ListLabel 12"/>
    <w:rPr>
      <w:sz w:val="22"/>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sz w:val="22"/>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sz w:val="22"/>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sz w:val="22"/>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sz w:val="22"/>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60AD7"/>
    <w:rPr>
      <w:b/>
      <w:bCs/>
    </w:rPr>
  </w:style>
  <w:style w:type="character" w:customStyle="1" w:styleId="CommentSubjectChar">
    <w:name w:val="Comment Subject Char"/>
    <w:basedOn w:val="CommentTextChar"/>
    <w:link w:val="CommentSubject"/>
    <w:uiPriority w:val="99"/>
    <w:semiHidden/>
    <w:rsid w:val="00F60AD7"/>
    <w:rPr>
      <w:b/>
      <w:bCs/>
      <w:sz w:val="20"/>
    </w:rPr>
  </w:style>
  <w:style w:type="character" w:styleId="SubtleEmphasis">
    <w:name w:val="Subtle Emphasis"/>
    <w:basedOn w:val="DefaultParagraphFont"/>
    <w:uiPriority w:val="19"/>
    <w:qFormat/>
    <w:rsid w:val="00C877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Jabari Jones</cp:lastModifiedBy>
  <cp:revision>175</cp:revision>
  <cp:lastPrinted>2018-11-29T16:36:00Z</cp:lastPrinted>
  <dcterms:created xsi:type="dcterms:W3CDTF">2019-04-13T12:37:00Z</dcterms:created>
  <dcterms:modified xsi:type="dcterms:W3CDTF">2019-04-15T18:45:00Z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