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5DD51" w14:textId="2C216506" w:rsidR="006E0EFD" w:rsidRPr="009D6EC8" w:rsidRDefault="006E0EFD" w:rsidP="006E0EFD">
      <w:pPr>
        <w:rPr>
          <w:rFonts w:cs="Arial"/>
        </w:rPr>
      </w:pPr>
      <w:r w:rsidRPr="00D26E75">
        <w:rPr>
          <w:rFonts w:cs="Arial"/>
          <w:b/>
        </w:rPr>
        <w:t>PROJECT TITLE:</w:t>
      </w:r>
      <w:r w:rsidR="00BB3C79" w:rsidRPr="00D26E75">
        <w:rPr>
          <w:rFonts w:cs="Arial"/>
          <w:b/>
        </w:rPr>
        <w:t xml:space="preserve"> </w:t>
      </w:r>
      <w:r w:rsidR="004F0C12" w:rsidRPr="00D26E75">
        <w:rPr>
          <w:rFonts w:cs="Arial"/>
        </w:rPr>
        <w:t>An economy-wide, sub-regional tool for economic and environmental decision-making in Minnesota</w:t>
      </w:r>
    </w:p>
    <w:p w14:paraId="6B182FDC" w14:textId="77777777" w:rsidR="00D97792" w:rsidRDefault="006E0EFD" w:rsidP="00192AFB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4C423F08" w14:textId="7B42E057" w:rsidR="00D96621" w:rsidRPr="00D96621" w:rsidRDefault="009A5B4B" w:rsidP="00D96621">
      <w:pPr>
        <w:ind w:firstLine="720"/>
        <w:rPr>
          <w:rFonts w:cs="Arial"/>
        </w:rPr>
      </w:pPr>
      <w:r>
        <w:rPr>
          <w:rFonts w:cs="Arial"/>
        </w:rPr>
        <w:t>R</w:t>
      </w:r>
      <w:r w:rsidRPr="00526EA3">
        <w:rPr>
          <w:rFonts w:cs="Arial"/>
        </w:rPr>
        <w:t xml:space="preserve">egional </w:t>
      </w:r>
      <w:r>
        <w:rPr>
          <w:rFonts w:cs="Arial"/>
        </w:rPr>
        <w:t xml:space="preserve">sustainable development </w:t>
      </w:r>
      <w:r w:rsidRPr="00526EA3">
        <w:rPr>
          <w:rFonts w:cs="Arial"/>
        </w:rPr>
        <w:t>analyses</w:t>
      </w:r>
      <w:r w:rsidR="00D97792">
        <w:rPr>
          <w:rFonts w:cs="Arial"/>
        </w:rPr>
        <w:t xml:space="preserve"> </w:t>
      </w:r>
      <w:r w:rsidR="00526EA3" w:rsidRPr="00526EA3">
        <w:rPr>
          <w:rFonts w:cs="Arial"/>
        </w:rPr>
        <w:t>require detailed and accurate information about dynamics happening within and between regional economies</w:t>
      </w:r>
      <w:r w:rsidR="00526EA3">
        <w:rPr>
          <w:rFonts w:cs="Arial"/>
        </w:rPr>
        <w:t xml:space="preserve"> that creat</w:t>
      </w:r>
      <w:r w:rsidR="00F20F3D">
        <w:rPr>
          <w:rFonts w:cs="Arial"/>
        </w:rPr>
        <w:t>e</w:t>
      </w:r>
      <w:r w:rsidR="00526EA3">
        <w:rPr>
          <w:rFonts w:cs="Arial"/>
        </w:rPr>
        <w:t xml:space="preserve"> benefits and burdens across economic, social and environmental dimensions</w:t>
      </w:r>
      <w:r w:rsidR="00526EA3" w:rsidRPr="00526EA3">
        <w:rPr>
          <w:rFonts w:cs="Arial"/>
        </w:rPr>
        <w:t xml:space="preserve">. </w:t>
      </w:r>
      <w:r w:rsidR="00526EA3">
        <w:rPr>
          <w:rFonts w:cs="Arial"/>
        </w:rPr>
        <w:t>I</w:t>
      </w:r>
      <w:r w:rsidR="00526EA3" w:rsidRPr="00526EA3">
        <w:rPr>
          <w:rFonts w:cs="Arial"/>
        </w:rPr>
        <w:t xml:space="preserve">t is critical that </w:t>
      </w:r>
      <w:r w:rsidR="00526EA3">
        <w:rPr>
          <w:rFonts w:cs="Arial"/>
        </w:rPr>
        <w:t xml:space="preserve">public and private decision-makers have access to </w:t>
      </w:r>
      <w:r w:rsidR="00526EA3" w:rsidRPr="00526EA3">
        <w:rPr>
          <w:rFonts w:cs="Arial"/>
        </w:rPr>
        <w:t>relevant and timely information to facilitate</w:t>
      </w:r>
      <w:r w:rsidR="00833950">
        <w:rPr>
          <w:rFonts w:cs="Arial"/>
        </w:rPr>
        <w:t xml:space="preserve"> sustainable development interventions and evaluate</w:t>
      </w:r>
      <w:r w:rsidR="00526EA3" w:rsidRPr="00526EA3">
        <w:rPr>
          <w:rFonts w:cs="Arial"/>
        </w:rPr>
        <w:t xml:space="preserve"> potential mitigation or adaptation policies </w:t>
      </w:r>
      <w:r w:rsidR="00526EA3">
        <w:rPr>
          <w:rFonts w:cs="Arial"/>
        </w:rPr>
        <w:t xml:space="preserve">affecting Minnesota </w:t>
      </w:r>
      <w:r w:rsidR="00833950">
        <w:rPr>
          <w:rFonts w:cs="Arial"/>
        </w:rPr>
        <w:t>and its sub-regions</w:t>
      </w:r>
      <w:r w:rsidR="00526EA3">
        <w:rPr>
          <w:rFonts w:cs="Arial"/>
        </w:rPr>
        <w:t>.</w:t>
      </w:r>
      <w:r w:rsidR="00833950">
        <w:rPr>
          <w:rFonts w:cs="Arial"/>
        </w:rPr>
        <w:t xml:space="preserve"> </w:t>
      </w:r>
      <w:r w:rsidR="00E705CB" w:rsidRPr="003D1894">
        <w:rPr>
          <w:rFonts w:cs="Arial"/>
          <w:b/>
        </w:rPr>
        <w:t xml:space="preserve">We propose </w:t>
      </w:r>
      <w:r w:rsidR="00A71C9F">
        <w:rPr>
          <w:rFonts w:cs="Arial"/>
          <w:b/>
        </w:rPr>
        <w:t xml:space="preserve">to create </w:t>
      </w:r>
      <w:r w:rsidR="00E705CB" w:rsidRPr="003D1894">
        <w:rPr>
          <w:rFonts w:cs="Arial"/>
          <w:b/>
        </w:rPr>
        <w:t xml:space="preserve">a </w:t>
      </w:r>
      <w:r w:rsidR="004F0C12">
        <w:rPr>
          <w:rFonts w:cs="Arial"/>
          <w:b/>
        </w:rPr>
        <w:t xml:space="preserve">regionalized, </w:t>
      </w:r>
      <w:r w:rsidR="00E705CB" w:rsidRPr="003D1894">
        <w:rPr>
          <w:rFonts w:cs="Arial"/>
          <w:b/>
        </w:rPr>
        <w:t>commodity flow enhanced</w:t>
      </w:r>
      <w:r w:rsidR="004F0C12">
        <w:rPr>
          <w:rFonts w:cs="Arial"/>
          <w:b/>
        </w:rPr>
        <w:t>,</w:t>
      </w:r>
      <w:r w:rsidR="00E705CB" w:rsidRPr="003D1894">
        <w:rPr>
          <w:rFonts w:cs="Arial"/>
          <w:b/>
        </w:rPr>
        <w:t xml:space="preserve"> environmentally extended input-output (EEIO) model </w:t>
      </w:r>
      <w:r w:rsidR="00943557">
        <w:rPr>
          <w:rFonts w:cs="Arial"/>
          <w:b/>
        </w:rPr>
        <w:t xml:space="preserve">for Minnesota, to inform State and local decision makers </w:t>
      </w:r>
      <w:r w:rsidR="00943557" w:rsidRPr="00943557">
        <w:rPr>
          <w:rFonts w:cs="Arial"/>
          <w:b/>
        </w:rPr>
        <w:t>across a wide range of applications from regional sustainable development to sustainable product</w:t>
      </w:r>
      <w:r w:rsidR="004F0C12">
        <w:rPr>
          <w:rFonts w:cs="Arial"/>
          <w:b/>
        </w:rPr>
        <w:t xml:space="preserve"> </w:t>
      </w:r>
      <w:r w:rsidR="00943557" w:rsidRPr="00943557">
        <w:rPr>
          <w:rFonts w:cs="Arial"/>
          <w:b/>
        </w:rPr>
        <w:t>and procurement-oriented policy and legislation.</w:t>
      </w:r>
      <w:r w:rsidR="00943557">
        <w:rPr>
          <w:rFonts w:cs="Arial"/>
          <w:b/>
        </w:rPr>
        <w:t xml:space="preserve"> </w:t>
      </w:r>
      <w:r w:rsidR="003E4D36">
        <w:rPr>
          <w:rFonts w:cs="Arial"/>
        </w:rPr>
        <w:t>T</w:t>
      </w:r>
      <w:r w:rsidR="00943557" w:rsidRPr="003E4D36">
        <w:rPr>
          <w:rFonts w:cs="Arial"/>
        </w:rPr>
        <w:t xml:space="preserve">he model will </w:t>
      </w:r>
      <w:r w:rsidR="00E705CB" w:rsidRPr="003E4D36">
        <w:rPr>
          <w:rFonts w:cs="Arial"/>
        </w:rPr>
        <w:t>assess where changes to economic activity in a particular industry and region is likely to create benefits and burdens</w:t>
      </w:r>
      <w:r w:rsidR="004F0C12">
        <w:rPr>
          <w:rFonts w:cs="Arial"/>
        </w:rPr>
        <w:t>,</w:t>
      </w:r>
      <w:r w:rsidR="00E705CB" w:rsidRPr="003E4D36">
        <w:rPr>
          <w:rFonts w:cs="Arial"/>
        </w:rPr>
        <w:t xml:space="preserve"> across its supply chain</w:t>
      </w:r>
      <w:r w:rsidR="004F0C12">
        <w:rPr>
          <w:rFonts w:cs="Arial"/>
        </w:rPr>
        <w:t>, as well as</w:t>
      </w:r>
      <w:r w:rsidR="00E705CB" w:rsidRPr="003E4D36">
        <w:rPr>
          <w:rFonts w:cs="Arial"/>
        </w:rPr>
        <w:t xml:space="preserve"> within and between regions.</w:t>
      </w:r>
      <w:r w:rsidR="003E4D36" w:rsidRPr="003E4D36">
        <w:rPr>
          <w:rFonts w:cs="Arial"/>
        </w:rPr>
        <w:t xml:space="preserve"> </w:t>
      </w:r>
      <w:r w:rsidR="006204E7">
        <w:rPr>
          <w:rFonts w:cs="Arial"/>
        </w:rPr>
        <w:t xml:space="preserve">For example, </w:t>
      </w:r>
      <w:r w:rsidR="00347B24">
        <w:rPr>
          <w:rFonts w:cs="Arial"/>
        </w:rPr>
        <w:t>it</w:t>
      </w:r>
      <w:r w:rsidR="006204E7">
        <w:rPr>
          <w:rFonts w:cs="Arial"/>
        </w:rPr>
        <w:t xml:space="preserve"> can provide</w:t>
      </w:r>
      <w:r w:rsidR="003E4D36">
        <w:rPr>
          <w:rFonts w:cs="Arial"/>
        </w:rPr>
        <w:t xml:space="preserve"> information to </w:t>
      </w:r>
      <w:r w:rsidR="004F0C12">
        <w:rPr>
          <w:rFonts w:cs="Arial"/>
        </w:rPr>
        <w:t xml:space="preserve">stakeholders </w:t>
      </w:r>
      <w:r w:rsidR="003E4D36">
        <w:rPr>
          <w:rFonts w:cs="Arial"/>
        </w:rPr>
        <w:t xml:space="preserve">on the regional economic and environmental trade-offs associated with the expansion of copper-nickel mining </w:t>
      </w:r>
      <w:r w:rsidR="004F0C12">
        <w:rPr>
          <w:rFonts w:cs="Arial"/>
        </w:rPr>
        <w:t xml:space="preserve">or agriculture </w:t>
      </w:r>
      <w:r w:rsidR="003E4D36">
        <w:rPr>
          <w:rFonts w:cs="Arial"/>
        </w:rPr>
        <w:t xml:space="preserve">in </w:t>
      </w:r>
      <w:r w:rsidR="004F0C12">
        <w:rPr>
          <w:rFonts w:cs="Arial"/>
        </w:rPr>
        <w:t xml:space="preserve">Greater </w:t>
      </w:r>
      <w:r w:rsidR="003E4D36">
        <w:rPr>
          <w:rFonts w:cs="Arial"/>
        </w:rPr>
        <w:t>Minnesota</w:t>
      </w:r>
      <w:r w:rsidR="004F0C12">
        <w:rPr>
          <w:rFonts w:cs="Arial"/>
        </w:rPr>
        <w:t xml:space="preserve">, </w:t>
      </w:r>
      <w:r w:rsidR="00D96621">
        <w:rPr>
          <w:rFonts w:cs="Arial"/>
        </w:rPr>
        <w:t>while also</w:t>
      </w:r>
      <w:r w:rsidR="004F0C12">
        <w:rPr>
          <w:rFonts w:cs="Arial"/>
        </w:rPr>
        <w:t xml:space="preserve"> guid</w:t>
      </w:r>
      <w:r w:rsidR="00D558D3">
        <w:rPr>
          <w:rFonts w:cs="Arial"/>
        </w:rPr>
        <w:t>ing</w:t>
      </w:r>
      <w:r w:rsidR="004F0C12">
        <w:rPr>
          <w:rFonts w:cs="Arial"/>
        </w:rPr>
        <w:t xml:space="preserve"> enterprise-level consumption of state agencies</w:t>
      </w:r>
      <w:r w:rsidR="00D96621">
        <w:rPr>
          <w:rFonts w:cs="Arial"/>
        </w:rPr>
        <w:t xml:space="preserve"> and local governments</w:t>
      </w:r>
      <w:r w:rsidR="004F0C12">
        <w:rPr>
          <w:rFonts w:cs="Arial"/>
        </w:rPr>
        <w:t xml:space="preserve"> </w:t>
      </w:r>
      <w:r w:rsidR="00D96621">
        <w:rPr>
          <w:rFonts w:cs="Arial"/>
        </w:rPr>
        <w:t xml:space="preserve">addressing </w:t>
      </w:r>
      <w:r w:rsidR="00D96621" w:rsidRPr="00D96621">
        <w:rPr>
          <w:rFonts w:cs="Arial"/>
        </w:rPr>
        <w:t>energy and water efficiency, emissions reductions or sustainable procurement targets.</w:t>
      </w:r>
    </w:p>
    <w:p w14:paraId="50831D22" w14:textId="54BE4741" w:rsidR="00D96621" w:rsidRDefault="00DD61CB" w:rsidP="00D96621">
      <w:pPr>
        <w:ind w:firstLine="720"/>
        <w:rPr>
          <w:rFonts w:cs="Arial"/>
        </w:rPr>
      </w:pPr>
      <w:r w:rsidRPr="0076093B">
        <w:rPr>
          <w:rFonts w:cs="Arial"/>
        </w:rPr>
        <w:t>EEIO</w:t>
      </w:r>
      <w:r w:rsidR="00FE5FDE" w:rsidRPr="0076093B">
        <w:rPr>
          <w:rFonts w:cs="Arial"/>
        </w:rPr>
        <w:t xml:space="preserve"> models track inputs (energy, materials, capital, labor) and outputs (</w:t>
      </w:r>
      <w:r w:rsidR="00D96621" w:rsidRPr="0076093B">
        <w:rPr>
          <w:rFonts w:cs="Arial"/>
        </w:rPr>
        <w:t xml:space="preserve">shipments, </w:t>
      </w:r>
      <w:r w:rsidR="00FE5FDE" w:rsidRPr="0076093B">
        <w:rPr>
          <w:rFonts w:cs="Arial"/>
        </w:rPr>
        <w:t>emissions</w:t>
      </w:r>
      <w:r w:rsidRPr="0076093B">
        <w:rPr>
          <w:rFonts w:cs="Arial"/>
        </w:rPr>
        <w:t xml:space="preserve"> and waste</w:t>
      </w:r>
      <w:r w:rsidR="00FE5FDE" w:rsidRPr="0076093B">
        <w:rPr>
          <w:rFonts w:cs="Arial"/>
        </w:rPr>
        <w:t xml:space="preserve">) for industries across an economy, and are used to </w:t>
      </w:r>
      <w:r w:rsidR="003D1894" w:rsidRPr="0076093B">
        <w:rPr>
          <w:rFonts w:cs="Arial"/>
        </w:rPr>
        <w:t xml:space="preserve">inform sustainable production and consumption policies. </w:t>
      </w:r>
      <w:r w:rsidRPr="0076093B">
        <w:rPr>
          <w:rFonts w:cs="Arial"/>
        </w:rPr>
        <w:t>EEIO models are currently being built around the worl</w:t>
      </w:r>
      <w:r w:rsidR="006204E7" w:rsidRPr="0076093B">
        <w:rPr>
          <w:rFonts w:cs="Arial"/>
        </w:rPr>
        <w:t>d</w:t>
      </w:r>
      <w:r w:rsidRPr="0076093B">
        <w:rPr>
          <w:rFonts w:cs="Arial"/>
        </w:rPr>
        <w:t xml:space="preserve">. </w:t>
      </w:r>
      <w:r w:rsidR="00FE5FDE" w:rsidRPr="0076093B">
        <w:rPr>
          <w:rFonts w:cs="Arial"/>
        </w:rPr>
        <w:t>In the U</w:t>
      </w:r>
      <w:r w:rsidRPr="0076093B">
        <w:rPr>
          <w:rFonts w:cs="Arial"/>
        </w:rPr>
        <w:t>.</w:t>
      </w:r>
      <w:r w:rsidR="00FE5FDE" w:rsidRPr="0076093B">
        <w:rPr>
          <w:rFonts w:cs="Arial"/>
        </w:rPr>
        <w:t>S</w:t>
      </w:r>
      <w:r w:rsidRPr="0076093B">
        <w:rPr>
          <w:rFonts w:cs="Arial"/>
        </w:rPr>
        <w:t>.</w:t>
      </w:r>
      <w:r w:rsidR="00FE5FDE" w:rsidRPr="0076093B">
        <w:rPr>
          <w:rFonts w:cs="Arial"/>
        </w:rPr>
        <w:t xml:space="preserve">, </w:t>
      </w:r>
      <w:r w:rsidR="003D1894" w:rsidRPr="0076093B">
        <w:rPr>
          <w:rFonts w:cs="Arial"/>
        </w:rPr>
        <w:t>EPA has recently developed a national-scale EEIO model (USEEIO), with leadership from key personnel of our research team (Yang et al., 2017)</w:t>
      </w:r>
      <w:r w:rsidR="006204E7" w:rsidRPr="0076093B">
        <w:rPr>
          <w:rFonts w:cs="Arial"/>
        </w:rPr>
        <w:t xml:space="preserve">, and is exploring a pilot “State” model </w:t>
      </w:r>
      <w:r w:rsidR="00D96621" w:rsidRPr="0076093B">
        <w:rPr>
          <w:rFonts w:cs="Arial"/>
        </w:rPr>
        <w:t>to support Sustainable Materials Management</w:t>
      </w:r>
      <w:r w:rsidR="003D1894" w:rsidRPr="0076093B">
        <w:rPr>
          <w:rFonts w:cs="Arial"/>
        </w:rPr>
        <w:t xml:space="preserve">. </w:t>
      </w:r>
      <w:r w:rsidRPr="0076093B">
        <w:rPr>
          <w:rFonts w:cs="Arial"/>
        </w:rPr>
        <w:t xml:space="preserve">The EEIO model we propose for the State of Minnesota </w:t>
      </w:r>
      <w:r w:rsidR="00943557" w:rsidRPr="0076093B">
        <w:rPr>
          <w:rFonts w:cs="Arial"/>
        </w:rPr>
        <w:t xml:space="preserve">will </w:t>
      </w:r>
      <w:r w:rsidR="003E4D36" w:rsidRPr="0076093B">
        <w:rPr>
          <w:rFonts w:cs="Arial"/>
        </w:rPr>
        <w:t xml:space="preserve">build </w:t>
      </w:r>
      <w:r w:rsidR="00D96621" w:rsidRPr="0076093B">
        <w:rPr>
          <w:rFonts w:cs="Arial"/>
        </w:rPr>
        <w:t>up</w:t>
      </w:r>
      <w:r w:rsidR="003E4D36" w:rsidRPr="0076093B">
        <w:rPr>
          <w:rFonts w:cs="Arial"/>
        </w:rPr>
        <w:t xml:space="preserve">on </w:t>
      </w:r>
      <w:r w:rsidR="00347B24" w:rsidRPr="0076093B">
        <w:rPr>
          <w:rFonts w:cs="Arial"/>
        </w:rPr>
        <w:t>the</w:t>
      </w:r>
      <w:r w:rsidR="006204E7" w:rsidRPr="0076093B">
        <w:rPr>
          <w:rFonts w:cs="Arial"/>
        </w:rPr>
        <w:t xml:space="preserve"> national USEEIO model, extend</w:t>
      </w:r>
      <w:r w:rsidR="00437549" w:rsidRPr="0076093B">
        <w:rPr>
          <w:rFonts w:cs="Arial"/>
        </w:rPr>
        <w:t xml:space="preserve">ing it </w:t>
      </w:r>
      <w:r w:rsidR="006204E7" w:rsidRPr="0076093B">
        <w:rPr>
          <w:rFonts w:cs="Arial"/>
        </w:rPr>
        <w:t>by</w:t>
      </w:r>
      <w:r w:rsidR="00437549" w:rsidRPr="0076093B">
        <w:rPr>
          <w:rFonts w:cs="Arial"/>
        </w:rPr>
        <w:t xml:space="preserve"> incorporating</w:t>
      </w:r>
      <w:r w:rsidR="006204E7" w:rsidRPr="0076093B">
        <w:rPr>
          <w:rFonts w:cs="Arial"/>
        </w:rPr>
        <w:t xml:space="preserve"> recent advancements in sub-regional commodity flow analysis developed at the University of Minnesota (Smith et al. 2017).</w:t>
      </w:r>
      <w:r w:rsidRPr="0076093B">
        <w:rPr>
          <w:rFonts w:cs="Arial"/>
        </w:rPr>
        <w:t xml:space="preserve"> </w:t>
      </w:r>
      <w:r w:rsidR="00437549" w:rsidRPr="0076093B">
        <w:rPr>
          <w:rFonts w:cs="Arial"/>
        </w:rPr>
        <w:t>Working with key stakeholders across the State, a user-inspired user interface will be designed and integrated into NRRI’s MN Natural Resource Atlas for wide dissemination and use.</w:t>
      </w:r>
    </w:p>
    <w:p w14:paraId="51018E12" w14:textId="22C06EAB" w:rsidR="00400255" w:rsidRPr="00EF1AE0" w:rsidRDefault="000A2DC3" w:rsidP="00437549">
      <w:pPr>
        <w:ind w:firstLine="720"/>
        <w:rPr>
          <w:rFonts w:cs="Arial"/>
          <w:lang w:eastAsia="zh-CN"/>
        </w:rPr>
      </w:pPr>
      <w:r>
        <w:rPr>
          <w:rFonts w:cs="Arial"/>
        </w:rPr>
        <w:t>Among it</w:t>
      </w:r>
      <w:r w:rsidR="00C0698F">
        <w:rPr>
          <w:rFonts w:cs="Arial"/>
        </w:rPr>
        <w:t>s</w:t>
      </w:r>
      <w:r>
        <w:rPr>
          <w:rFonts w:cs="Arial"/>
        </w:rPr>
        <w:t xml:space="preserve"> many uses, o</w:t>
      </w:r>
      <w:r w:rsidR="00437549">
        <w:rPr>
          <w:rFonts w:cs="Arial"/>
        </w:rPr>
        <w:t>ur multi- and sub-regional</w:t>
      </w:r>
      <w:r w:rsidR="00D96621">
        <w:rPr>
          <w:rFonts w:cs="Arial"/>
        </w:rPr>
        <w:t xml:space="preserve"> </w:t>
      </w:r>
      <w:r w:rsidR="00437549">
        <w:rPr>
          <w:rFonts w:cs="Arial"/>
        </w:rPr>
        <w:t xml:space="preserve">MN-US </w:t>
      </w:r>
      <w:r w:rsidR="00D96621">
        <w:rPr>
          <w:rFonts w:cs="Arial"/>
        </w:rPr>
        <w:t xml:space="preserve">EEIO </w:t>
      </w:r>
      <w:r w:rsidR="00437549">
        <w:rPr>
          <w:rFonts w:cs="Arial"/>
        </w:rPr>
        <w:t xml:space="preserve">tool </w:t>
      </w:r>
      <w:r w:rsidR="00D96621">
        <w:rPr>
          <w:rFonts w:cs="Arial"/>
        </w:rPr>
        <w:t>will</w:t>
      </w:r>
      <w:r w:rsidR="00DD61CB" w:rsidRPr="00EF1AE0">
        <w:rPr>
          <w:rFonts w:cs="Arial"/>
        </w:rPr>
        <w:t xml:space="preserve"> be used to 1) evaluate regional economic and environmental trade-offs associated with creation or expansion of a particular industrial activity (e.g. mining, agriculture); 2) prioritize regional economic development opportunities that balance the economy and environmental impacts; 3) provide insight on the impacts of major disruptions or changes in commodity supply chains due to government policies, best management practices, or economic conditions; or, 4) provide guidance to agencies for assessing potential options for meeting </w:t>
      </w:r>
      <w:r w:rsidR="00437549">
        <w:rPr>
          <w:rFonts w:cs="Arial"/>
        </w:rPr>
        <w:t xml:space="preserve">newly established </w:t>
      </w:r>
      <w:r w:rsidR="00DD61CB" w:rsidRPr="00EF1AE0">
        <w:rPr>
          <w:rFonts w:cs="Arial"/>
        </w:rPr>
        <w:t>targets for energy and water efficiency, emissions reductions or sustainable procurement.</w:t>
      </w:r>
      <w:r w:rsidR="006672C3" w:rsidRPr="00EF1AE0">
        <w:rPr>
          <w:rFonts w:cs="Arial"/>
        </w:rPr>
        <w:t xml:space="preserve"> </w:t>
      </w:r>
      <w:r w:rsidR="005B7A6E" w:rsidRPr="00EF1AE0">
        <w:rPr>
          <w:rFonts w:cs="Arial"/>
        </w:rPr>
        <w:t xml:space="preserve"> </w:t>
      </w:r>
    </w:p>
    <w:p w14:paraId="43B437E2" w14:textId="77777777" w:rsidR="00B313FD" w:rsidRPr="00EF1AE0" w:rsidRDefault="00B313FD" w:rsidP="006E0EFD">
      <w:pPr>
        <w:rPr>
          <w:rFonts w:cs="Arial"/>
          <w:sz w:val="4"/>
          <w:szCs w:val="4"/>
        </w:rPr>
      </w:pPr>
    </w:p>
    <w:p w14:paraId="30BE02BB" w14:textId="77777777" w:rsidR="00C0698F" w:rsidRDefault="00C0698F" w:rsidP="006E0EFD">
      <w:pPr>
        <w:rPr>
          <w:rFonts w:cs="Arial"/>
          <w:b/>
        </w:rPr>
      </w:pPr>
    </w:p>
    <w:p w14:paraId="73D0AFCA" w14:textId="7E3E227D" w:rsidR="006E0EFD" w:rsidRPr="00EF1AE0" w:rsidRDefault="006E0EFD" w:rsidP="006E0EFD">
      <w:pPr>
        <w:rPr>
          <w:rFonts w:cs="Arial"/>
        </w:rPr>
      </w:pPr>
      <w:r w:rsidRPr="00EF1AE0">
        <w:rPr>
          <w:rFonts w:cs="Arial"/>
          <w:b/>
        </w:rPr>
        <w:t xml:space="preserve">II. PROJECT </w:t>
      </w:r>
      <w:r w:rsidR="00A13F26" w:rsidRPr="00EF1AE0">
        <w:rPr>
          <w:rFonts w:cs="Arial"/>
          <w:b/>
        </w:rPr>
        <w:t>ACTIVIT</w:t>
      </w:r>
      <w:r w:rsidR="00533120" w:rsidRPr="00EF1AE0">
        <w:rPr>
          <w:rFonts w:cs="Arial"/>
          <w:b/>
        </w:rPr>
        <w:t>I</w:t>
      </w:r>
      <w:r w:rsidR="00A13F26" w:rsidRPr="00EF1AE0">
        <w:rPr>
          <w:rFonts w:cs="Arial"/>
          <w:b/>
        </w:rPr>
        <w:t>ES</w:t>
      </w:r>
      <w:r w:rsidR="00614DF2" w:rsidRPr="00EF1AE0">
        <w:rPr>
          <w:rFonts w:cs="Arial"/>
          <w:b/>
        </w:rPr>
        <w:t xml:space="preserve"> AND OUTCOMES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7380"/>
        <w:gridCol w:w="2695"/>
      </w:tblGrid>
      <w:tr w:rsidR="00686B53" w:rsidRPr="00EF1AE0" w14:paraId="632AD9CA" w14:textId="77777777" w:rsidTr="007C5219">
        <w:tc>
          <w:tcPr>
            <w:tcW w:w="7380" w:type="dxa"/>
          </w:tcPr>
          <w:p w14:paraId="27F4DEA8" w14:textId="225E68D6" w:rsidR="005431D4" w:rsidRPr="00EF1AE0" w:rsidRDefault="00686B53" w:rsidP="00FC5269">
            <w:pPr>
              <w:widowControl w:val="0"/>
              <w:rPr>
                <w:rFonts w:cs="Arial"/>
                <w:b/>
                <w:lang w:eastAsia="zh-CN"/>
              </w:rPr>
            </w:pPr>
            <w:r w:rsidRPr="00EF1AE0">
              <w:rPr>
                <w:rFonts w:cs="Arial"/>
                <w:b/>
              </w:rPr>
              <w:t>Activity 1</w:t>
            </w:r>
            <w:r w:rsidR="008A5FD9" w:rsidRPr="00EF1AE0">
              <w:rPr>
                <w:rFonts w:cs="Arial"/>
                <w:b/>
              </w:rPr>
              <w:t xml:space="preserve"> Title</w:t>
            </w:r>
            <w:r w:rsidRPr="00EF1AE0">
              <w:rPr>
                <w:rFonts w:cs="Arial"/>
                <w:b/>
              </w:rPr>
              <w:t>:</w:t>
            </w:r>
            <w:r w:rsidR="00AA780E" w:rsidRPr="00EF1AE0">
              <w:rPr>
                <w:rFonts w:cs="Arial"/>
                <w:b/>
              </w:rPr>
              <w:t xml:space="preserve"> </w:t>
            </w:r>
            <w:r w:rsidR="007801C4" w:rsidRPr="00EF1AE0">
              <w:rPr>
                <w:rFonts w:cs="Arial"/>
                <w:i/>
              </w:rPr>
              <w:t xml:space="preserve">build MN environmentally extended input-output model </w:t>
            </w:r>
          </w:p>
        </w:tc>
        <w:tc>
          <w:tcPr>
            <w:tcW w:w="2695" w:type="dxa"/>
            <w:shd w:val="clear" w:color="auto" w:fill="auto"/>
          </w:tcPr>
          <w:p w14:paraId="780E99AF" w14:textId="5BDD19A2" w:rsidR="00686B53" w:rsidRPr="00EF1AE0" w:rsidRDefault="00FC5269" w:rsidP="00FC526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EF1AE0">
              <w:rPr>
                <w:rFonts w:cs="Arial"/>
                <w:b/>
                <w:bCs/>
                <w:color w:val="000000"/>
              </w:rPr>
              <w:t>ENRTF BUDGET: $</w:t>
            </w:r>
            <w:r w:rsidR="00956519" w:rsidRPr="00EF1AE0">
              <w:rPr>
                <w:rFonts w:cs="Arial"/>
                <w:b/>
                <w:bCs/>
                <w:color w:val="000000"/>
              </w:rPr>
              <w:t xml:space="preserve"> </w:t>
            </w:r>
            <w:r w:rsidR="005240F2" w:rsidRPr="00EF1AE0">
              <w:rPr>
                <w:rFonts w:cs="Arial"/>
                <w:b/>
                <w:bCs/>
                <w:color w:val="000000"/>
              </w:rPr>
              <w:t>23</w:t>
            </w:r>
            <w:r w:rsidR="00D26E75">
              <w:rPr>
                <w:rFonts w:cs="Arial"/>
                <w:b/>
                <w:bCs/>
                <w:color w:val="000000"/>
              </w:rPr>
              <w:t>9</w:t>
            </w:r>
            <w:r w:rsidR="005240F2" w:rsidRPr="00EF1AE0">
              <w:rPr>
                <w:rFonts w:cs="Arial"/>
                <w:b/>
                <w:bCs/>
                <w:color w:val="000000"/>
              </w:rPr>
              <w:t>,</w:t>
            </w:r>
            <w:r w:rsidR="00D26E75">
              <w:rPr>
                <w:rFonts w:cs="Arial"/>
                <w:b/>
                <w:bCs/>
                <w:color w:val="000000"/>
              </w:rPr>
              <w:t>189</w:t>
            </w:r>
          </w:p>
        </w:tc>
      </w:tr>
      <w:tr w:rsidR="00AA780E" w:rsidRPr="00EB5831" w14:paraId="49075FCA" w14:textId="77777777" w:rsidTr="00192AFB">
        <w:tc>
          <w:tcPr>
            <w:tcW w:w="10075" w:type="dxa"/>
            <w:gridSpan w:val="2"/>
          </w:tcPr>
          <w:p w14:paraId="7DF2071A" w14:textId="548F9D30" w:rsidR="00AA780E" w:rsidRPr="00133A9E" w:rsidRDefault="00AA780E" w:rsidP="006338B0">
            <w:pPr>
              <w:widowControl w:val="0"/>
              <w:rPr>
                <w:rFonts w:cs="Arial"/>
                <w:i/>
              </w:rPr>
            </w:pPr>
            <w:r w:rsidRPr="00133A9E">
              <w:rPr>
                <w:rFonts w:cs="Arial"/>
                <w:b/>
              </w:rPr>
              <w:t>Description:</w:t>
            </w:r>
            <w:r w:rsidRPr="00133A9E">
              <w:rPr>
                <w:rFonts w:cs="Arial"/>
                <w:i/>
              </w:rPr>
              <w:t xml:space="preserve"> </w:t>
            </w:r>
            <w:r w:rsidR="00A80F71" w:rsidRPr="00133A9E">
              <w:rPr>
                <w:rFonts w:cs="Arial"/>
                <w:i/>
              </w:rPr>
              <w:t>W</w:t>
            </w:r>
            <w:r w:rsidR="004763BD" w:rsidRPr="00133A9E">
              <w:rPr>
                <w:rFonts w:cs="Arial"/>
                <w:i/>
              </w:rPr>
              <w:t xml:space="preserve">e will </w:t>
            </w:r>
            <w:r w:rsidR="00A80F71" w:rsidRPr="00133A9E">
              <w:rPr>
                <w:rFonts w:cs="Arial"/>
                <w:i/>
              </w:rPr>
              <w:t xml:space="preserve">collaborate with the </w:t>
            </w:r>
            <w:r w:rsidR="00437549" w:rsidRPr="00133A9E">
              <w:rPr>
                <w:rFonts w:cs="Arial"/>
                <w:i/>
              </w:rPr>
              <w:t>US</w:t>
            </w:r>
            <w:r w:rsidR="00A80F71" w:rsidRPr="00133A9E">
              <w:rPr>
                <w:rFonts w:cs="Arial"/>
                <w:i/>
              </w:rPr>
              <w:t xml:space="preserve">EPA and </w:t>
            </w:r>
            <w:r w:rsidR="00437549" w:rsidRPr="00133A9E">
              <w:rPr>
                <w:rFonts w:cs="Arial"/>
                <w:i/>
              </w:rPr>
              <w:t xml:space="preserve">MNPCA to </w:t>
            </w:r>
            <w:r w:rsidR="00EC6B2E" w:rsidRPr="00133A9E">
              <w:rPr>
                <w:rFonts w:cs="Arial"/>
                <w:i/>
              </w:rPr>
              <w:t xml:space="preserve">develop </w:t>
            </w:r>
            <w:r w:rsidR="007A792A" w:rsidRPr="00133A9E">
              <w:rPr>
                <w:rFonts w:cs="Arial"/>
                <w:i/>
              </w:rPr>
              <w:t>a regionalized EEIO model for MN</w:t>
            </w:r>
            <w:r w:rsidR="004763BD" w:rsidRPr="00133A9E">
              <w:rPr>
                <w:rFonts w:cs="Arial"/>
                <w:i/>
              </w:rPr>
              <w:t xml:space="preserve"> (MN-US</w:t>
            </w:r>
            <w:r w:rsidR="00225BF1">
              <w:rPr>
                <w:rFonts w:cs="Arial"/>
                <w:i/>
              </w:rPr>
              <w:t xml:space="preserve"> </w:t>
            </w:r>
            <w:r w:rsidR="004763BD" w:rsidRPr="00133A9E">
              <w:rPr>
                <w:rFonts w:cs="Arial"/>
                <w:i/>
              </w:rPr>
              <w:t xml:space="preserve">EEIO), </w:t>
            </w:r>
            <w:proofErr w:type="gramStart"/>
            <w:r w:rsidR="004F0D4C" w:rsidRPr="00133A9E">
              <w:rPr>
                <w:rFonts w:cs="Arial"/>
                <w:i/>
              </w:rPr>
              <w:t>taking into account</w:t>
            </w:r>
            <w:proofErr w:type="gramEnd"/>
            <w:r w:rsidR="004763BD" w:rsidRPr="00133A9E">
              <w:rPr>
                <w:rFonts w:cs="Arial"/>
                <w:i/>
              </w:rPr>
              <w:t xml:space="preserve"> </w:t>
            </w:r>
            <w:r w:rsidR="00437810" w:rsidRPr="00133A9E">
              <w:rPr>
                <w:rFonts w:cs="Arial"/>
                <w:i/>
              </w:rPr>
              <w:t>the</w:t>
            </w:r>
            <w:r w:rsidR="000E55EE" w:rsidRPr="00133A9E">
              <w:rPr>
                <w:rFonts w:cs="Arial"/>
                <w:i/>
              </w:rPr>
              <w:t xml:space="preserve"> unique </w:t>
            </w:r>
            <w:r w:rsidR="004763BD" w:rsidRPr="00133A9E">
              <w:rPr>
                <w:rFonts w:cs="Arial"/>
                <w:i/>
              </w:rPr>
              <w:t xml:space="preserve">economic </w:t>
            </w:r>
            <w:r w:rsidR="00437549" w:rsidRPr="00133A9E">
              <w:rPr>
                <w:rFonts w:cs="Arial"/>
                <w:i/>
              </w:rPr>
              <w:t xml:space="preserve">and environmental performance </w:t>
            </w:r>
            <w:r w:rsidR="000E55EE" w:rsidRPr="00133A9E">
              <w:rPr>
                <w:rFonts w:cs="Arial"/>
                <w:i/>
              </w:rPr>
              <w:t xml:space="preserve">situations in </w:t>
            </w:r>
            <w:r w:rsidR="00437549" w:rsidRPr="00133A9E">
              <w:rPr>
                <w:rFonts w:cs="Arial"/>
                <w:i/>
              </w:rPr>
              <w:t xml:space="preserve">the </w:t>
            </w:r>
            <w:r w:rsidR="007A792A" w:rsidRPr="00133A9E">
              <w:rPr>
                <w:rFonts w:cs="Arial"/>
                <w:i/>
              </w:rPr>
              <w:t>State</w:t>
            </w:r>
            <w:r w:rsidR="000E55EE" w:rsidRPr="00133A9E">
              <w:rPr>
                <w:rFonts w:cs="Arial"/>
                <w:i/>
              </w:rPr>
              <w:t xml:space="preserve"> for major sectors </w:t>
            </w:r>
            <w:r w:rsidR="006338B0" w:rsidRPr="00133A9E">
              <w:rPr>
                <w:rFonts w:cs="Arial"/>
                <w:i/>
              </w:rPr>
              <w:t>(e.g.</w:t>
            </w:r>
            <w:r w:rsidR="000E55EE" w:rsidRPr="00133A9E">
              <w:rPr>
                <w:rFonts w:cs="Arial"/>
                <w:i/>
              </w:rPr>
              <w:t xml:space="preserve"> electricity</w:t>
            </w:r>
            <w:r w:rsidR="004426B6" w:rsidRPr="00133A9E">
              <w:rPr>
                <w:rFonts w:cs="Arial"/>
                <w:i/>
              </w:rPr>
              <w:t>,</w:t>
            </w:r>
            <w:r w:rsidR="006338B0" w:rsidRPr="00133A9E">
              <w:rPr>
                <w:rFonts w:cs="Arial"/>
                <w:i/>
              </w:rPr>
              <w:t xml:space="preserve"> </w:t>
            </w:r>
            <w:r w:rsidR="003009A6" w:rsidRPr="00133A9E">
              <w:rPr>
                <w:rFonts w:cs="Arial"/>
                <w:i/>
              </w:rPr>
              <w:t>agriculture,</w:t>
            </w:r>
            <w:r w:rsidR="004763BD" w:rsidRPr="00133A9E">
              <w:rPr>
                <w:rFonts w:cs="Arial"/>
                <w:i/>
              </w:rPr>
              <w:t xml:space="preserve"> and</w:t>
            </w:r>
            <w:r w:rsidR="006338B0" w:rsidRPr="00133A9E">
              <w:rPr>
                <w:rFonts w:cs="Arial"/>
                <w:i/>
              </w:rPr>
              <w:t xml:space="preserve"> mining)</w:t>
            </w:r>
            <w:r w:rsidR="000E55EE" w:rsidRPr="00133A9E">
              <w:rPr>
                <w:rFonts w:cs="Arial"/>
                <w:i/>
              </w:rPr>
              <w:t>.</w:t>
            </w:r>
            <w:r w:rsidR="00437810" w:rsidRPr="00133A9E">
              <w:rPr>
                <w:rFonts w:cs="Arial"/>
                <w:i/>
              </w:rPr>
              <w:t xml:space="preserve"> </w:t>
            </w:r>
            <w:r w:rsidR="0076093B" w:rsidRPr="00133A9E">
              <w:rPr>
                <w:rFonts w:cs="Arial"/>
                <w:i/>
              </w:rPr>
              <w:t xml:space="preserve">Outputs of this activity will include an MN-US input-output table which captures transactions between industries within and without MN, and an MN-specific environmental table which records environmental releases from industries within MN. </w:t>
            </w:r>
          </w:p>
        </w:tc>
      </w:tr>
    </w:tbl>
    <w:tbl>
      <w:tblPr>
        <w:tblpPr w:leftFromText="180" w:rightFromText="180" w:vertAnchor="text" w:horzAnchor="margin" w:tblpY="88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437810" w:rsidRPr="009D6EC8" w14:paraId="2AA07501" w14:textId="77777777" w:rsidTr="00437810">
        <w:tc>
          <w:tcPr>
            <w:tcW w:w="8284" w:type="dxa"/>
          </w:tcPr>
          <w:p w14:paraId="3AF29F3A" w14:textId="77777777" w:rsidR="00437810" w:rsidRPr="009D6EC8" w:rsidRDefault="00437810" w:rsidP="00437810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08D33B8E" w14:textId="77777777" w:rsidR="00437810" w:rsidRPr="009D6EC8" w:rsidRDefault="00437810" w:rsidP="00437810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437810" w:rsidRPr="007C5219" w14:paraId="0AE18B85" w14:textId="77777777" w:rsidTr="00437810">
        <w:tc>
          <w:tcPr>
            <w:tcW w:w="8284" w:type="dxa"/>
          </w:tcPr>
          <w:p w14:paraId="68B5669A" w14:textId="0882F0D9" w:rsidR="00437810" w:rsidRPr="007C5219" w:rsidRDefault="00437810" w:rsidP="00437810">
            <w:pPr>
              <w:rPr>
                <w:rFonts w:cs="Arial"/>
                <w:i/>
                <w:lang w:eastAsia="zh-CN"/>
              </w:rPr>
            </w:pPr>
            <w:r w:rsidRPr="007C5219">
              <w:rPr>
                <w:rFonts w:cs="Arial"/>
                <w:i/>
              </w:rPr>
              <w:t xml:space="preserve">1. </w:t>
            </w:r>
            <w:r w:rsidR="004763BD">
              <w:rPr>
                <w:rFonts w:cs="Arial"/>
                <w:i/>
              </w:rPr>
              <w:t>Produce an</w:t>
            </w:r>
            <w:r w:rsidR="00F865C4">
              <w:rPr>
                <w:rFonts w:cs="Arial"/>
                <w:i/>
              </w:rPr>
              <w:t xml:space="preserve"> economy-wide</w:t>
            </w:r>
            <w:r w:rsidRPr="007C5219">
              <w:rPr>
                <w:rFonts w:cs="Arial"/>
                <w:i/>
              </w:rPr>
              <w:t xml:space="preserve"> input-output (IO) table for Minnesota, nested within the national IO table developed by the Bureau of Economic Analysis </w:t>
            </w:r>
          </w:p>
        </w:tc>
        <w:tc>
          <w:tcPr>
            <w:tcW w:w="1786" w:type="dxa"/>
          </w:tcPr>
          <w:p w14:paraId="122E077A" w14:textId="5272FA99" w:rsidR="00437810" w:rsidRPr="007C5219" w:rsidRDefault="000070B9" w:rsidP="00437810">
            <w:pPr>
              <w:rPr>
                <w:rFonts w:cs="Arial"/>
                <w:i/>
              </w:rPr>
            </w:pPr>
            <w:r w:rsidRPr="007C5219">
              <w:rPr>
                <w:rFonts w:cs="Arial"/>
                <w:i/>
              </w:rPr>
              <w:t>Jan 1st</w:t>
            </w:r>
            <w:r w:rsidR="00437810" w:rsidRPr="007C5219">
              <w:rPr>
                <w:rFonts w:cs="Arial"/>
                <w:i/>
              </w:rPr>
              <w:t>,</w:t>
            </w:r>
            <w:r w:rsidR="005240F2" w:rsidRPr="007C5219">
              <w:rPr>
                <w:rFonts w:cs="Arial"/>
                <w:i/>
              </w:rPr>
              <w:t xml:space="preserve"> </w:t>
            </w:r>
            <w:r w:rsidR="00437810" w:rsidRPr="007C5219">
              <w:rPr>
                <w:rFonts w:cs="Arial"/>
                <w:i/>
              </w:rPr>
              <w:t>20</w:t>
            </w:r>
            <w:r w:rsidR="00F70752" w:rsidRPr="007C5219">
              <w:rPr>
                <w:rFonts w:cs="Arial"/>
                <w:i/>
              </w:rPr>
              <w:t>2</w:t>
            </w:r>
            <w:r w:rsidR="000A2DC3">
              <w:rPr>
                <w:rFonts w:cs="Arial"/>
                <w:i/>
              </w:rPr>
              <w:t>1</w:t>
            </w:r>
          </w:p>
        </w:tc>
      </w:tr>
      <w:tr w:rsidR="00437810" w:rsidRPr="007C5219" w14:paraId="37CFFA5C" w14:textId="77777777" w:rsidTr="00437810">
        <w:tc>
          <w:tcPr>
            <w:tcW w:w="8284" w:type="dxa"/>
          </w:tcPr>
          <w:p w14:paraId="09B229A3" w14:textId="77777777" w:rsidR="00437810" w:rsidRPr="007C5219" w:rsidRDefault="00437810" w:rsidP="00437810">
            <w:pPr>
              <w:rPr>
                <w:rFonts w:cs="Arial"/>
                <w:i/>
              </w:rPr>
            </w:pPr>
            <w:r w:rsidRPr="007C5219">
              <w:rPr>
                <w:rFonts w:cs="Arial"/>
                <w:i/>
              </w:rPr>
              <w:t>2. Quantify pollutants released by productive sectors in Minnesota</w:t>
            </w:r>
            <w:r w:rsidR="00932900" w:rsidRPr="007C5219">
              <w:rPr>
                <w:rFonts w:cs="Arial"/>
                <w:i/>
              </w:rPr>
              <w:t>, based</w:t>
            </w:r>
            <w:r w:rsidR="00BA0728" w:rsidRPr="007C5219">
              <w:rPr>
                <w:rFonts w:cs="Arial"/>
                <w:i/>
              </w:rPr>
              <w:t xml:space="preserve"> primarily</w:t>
            </w:r>
            <w:r w:rsidR="00932900" w:rsidRPr="007C5219">
              <w:rPr>
                <w:rFonts w:cs="Arial"/>
                <w:i/>
              </w:rPr>
              <w:t xml:space="preserve"> on EPA’s toxic release inventory (TRI) and national emissions inventory (NEI)</w:t>
            </w:r>
          </w:p>
        </w:tc>
        <w:tc>
          <w:tcPr>
            <w:tcW w:w="1786" w:type="dxa"/>
          </w:tcPr>
          <w:p w14:paraId="12F40E29" w14:textId="20049FA4" w:rsidR="00437810" w:rsidRPr="007C5219" w:rsidRDefault="005240F2" w:rsidP="00437810">
            <w:pPr>
              <w:rPr>
                <w:rFonts w:cs="Arial"/>
                <w:i/>
                <w:lang w:eastAsia="zh-CN"/>
              </w:rPr>
            </w:pPr>
            <w:r w:rsidRPr="007C5219">
              <w:rPr>
                <w:rFonts w:cs="Arial"/>
                <w:i/>
              </w:rPr>
              <w:t>Aug</w:t>
            </w:r>
            <w:r w:rsidR="000070B9" w:rsidRPr="007C5219">
              <w:rPr>
                <w:rFonts w:cs="Arial"/>
                <w:i/>
              </w:rPr>
              <w:t xml:space="preserve"> 1st</w:t>
            </w:r>
            <w:r w:rsidR="00437810" w:rsidRPr="007C5219">
              <w:rPr>
                <w:rFonts w:cs="Arial"/>
                <w:i/>
              </w:rPr>
              <w:t>,</w:t>
            </w:r>
            <w:r w:rsidRPr="007C5219">
              <w:rPr>
                <w:rFonts w:cs="Arial"/>
                <w:i/>
              </w:rPr>
              <w:t xml:space="preserve"> </w:t>
            </w:r>
            <w:r w:rsidR="00437810" w:rsidRPr="007C5219">
              <w:rPr>
                <w:rFonts w:cs="Arial"/>
                <w:i/>
              </w:rPr>
              <w:t>20</w:t>
            </w:r>
            <w:r w:rsidR="00F70752" w:rsidRPr="007C5219">
              <w:rPr>
                <w:rFonts w:cs="Arial"/>
                <w:i/>
              </w:rPr>
              <w:t>2</w:t>
            </w:r>
            <w:r w:rsidR="000A2DC3">
              <w:rPr>
                <w:rFonts w:cs="Arial"/>
                <w:i/>
              </w:rPr>
              <w:t>1</w:t>
            </w:r>
          </w:p>
        </w:tc>
      </w:tr>
    </w:tbl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2695"/>
      </w:tblGrid>
      <w:tr w:rsidR="00437810" w:rsidRPr="007C5219" w14:paraId="0921983D" w14:textId="77777777" w:rsidTr="005240F2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61E4BE4B" w14:textId="4DD4908E" w:rsidR="00437810" w:rsidRPr="007C5219" w:rsidRDefault="00437810" w:rsidP="00AA1BC0">
            <w:pPr>
              <w:widowControl w:val="0"/>
              <w:rPr>
                <w:rFonts w:cs="Arial"/>
                <w:b/>
                <w:lang w:eastAsia="zh-CN"/>
              </w:rPr>
            </w:pPr>
            <w:r w:rsidRPr="007C5219">
              <w:rPr>
                <w:rFonts w:cs="Arial"/>
                <w:b/>
              </w:rPr>
              <w:t xml:space="preserve">Activity 2 Title: </w:t>
            </w:r>
            <w:r w:rsidR="003A0720" w:rsidRPr="007C5219">
              <w:rPr>
                <w:rFonts w:cs="Arial"/>
                <w:i/>
                <w:lang w:eastAsia="zh-CN"/>
              </w:rPr>
              <w:t>further regionalize the MN-US</w:t>
            </w:r>
            <w:r w:rsidR="00225BF1">
              <w:rPr>
                <w:rFonts w:cs="Arial"/>
                <w:i/>
                <w:lang w:eastAsia="zh-CN"/>
              </w:rPr>
              <w:t xml:space="preserve"> </w:t>
            </w:r>
            <w:r w:rsidR="003A0720" w:rsidRPr="007C5219">
              <w:rPr>
                <w:rFonts w:cs="Arial"/>
                <w:i/>
                <w:lang w:eastAsia="zh-CN"/>
              </w:rPr>
              <w:t>EEIO model by estimating and integrating</w:t>
            </w:r>
            <w:r w:rsidRPr="007C5219">
              <w:rPr>
                <w:rFonts w:cs="Arial"/>
                <w:i/>
                <w:lang w:eastAsia="zh-CN"/>
              </w:rPr>
              <w:t xml:space="preserve"> inter-county flows of major</w:t>
            </w:r>
            <w:r w:rsidR="00225BF1">
              <w:rPr>
                <w:rFonts w:cs="Arial"/>
                <w:i/>
                <w:lang w:eastAsia="zh-CN"/>
              </w:rPr>
              <w:t xml:space="preserve"> economic sectors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F6537FD" w14:textId="48FAC17A" w:rsidR="00437810" w:rsidRPr="007C5219" w:rsidRDefault="00437810" w:rsidP="00AA1BC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7C5219">
              <w:rPr>
                <w:rFonts w:cs="Arial"/>
                <w:b/>
                <w:bCs/>
                <w:color w:val="000000"/>
              </w:rPr>
              <w:t xml:space="preserve">ENRTF BUDGET: $ </w:t>
            </w:r>
            <w:r w:rsidR="00D26E75">
              <w:rPr>
                <w:rFonts w:cs="Arial"/>
                <w:b/>
                <w:bCs/>
                <w:color w:val="000000"/>
              </w:rPr>
              <w:t>179,392</w:t>
            </w:r>
          </w:p>
        </w:tc>
      </w:tr>
      <w:tr w:rsidR="00437810" w:rsidRPr="007C5219" w14:paraId="130675D3" w14:textId="77777777" w:rsidTr="00AA1BC0">
        <w:tc>
          <w:tcPr>
            <w:tcW w:w="10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A1FE5" w14:textId="46F3E50C" w:rsidR="00437810" w:rsidRPr="007C5219" w:rsidRDefault="00437810" w:rsidP="00AA1BC0">
            <w:pPr>
              <w:widowControl w:val="0"/>
              <w:rPr>
                <w:rFonts w:cs="Arial"/>
                <w:i/>
              </w:rPr>
            </w:pPr>
            <w:r w:rsidRPr="007C5219">
              <w:rPr>
                <w:rFonts w:cs="Arial"/>
                <w:b/>
              </w:rPr>
              <w:lastRenderedPageBreak/>
              <w:t>Description:</w:t>
            </w:r>
            <w:r w:rsidRPr="007C5219">
              <w:rPr>
                <w:rFonts w:cs="Arial"/>
                <w:i/>
              </w:rPr>
              <w:t xml:space="preserve"> </w:t>
            </w:r>
            <w:r w:rsidR="00EC6B2E" w:rsidRPr="007C5219">
              <w:rPr>
                <w:rFonts w:cs="Arial"/>
                <w:i/>
              </w:rPr>
              <w:t>We will expand</w:t>
            </w:r>
            <w:r w:rsidR="00A571A8" w:rsidRPr="007C5219">
              <w:rPr>
                <w:rFonts w:cs="Arial"/>
                <w:i/>
              </w:rPr>
              <w:t xml:space="preserve"> on previous work done at the University of Minnesota </w:t>
            </w:r>
            <w:r w:rsidR="00A571A8" w:rsidRPr="007C5219">
              <w:rPr>
                <w:rFonts w:cs="Arial"/>
              </w:rPr>
              <w:t>(Smith et al. 2017)</w:t>
            </w:r>
            <w:r w:rsidR="00EC6B2E" w:rsidRPr="007C5219">
              <w:rPr>
                <w:rFonts w:cs="Arial"/>
              </w:rPr>
              <w:t xml:space="preserve"> to estimate</w:t>
            </w:r>
            <w:r w:rsidR="00A571A8" w:rsidRPr="007C5219">
              <w:rPr>
                <w:rFonts w:cs="Arial"/>
              </w:rPr>
              <w:t xml:space="preserve"> </w:t>
            </w:r>
            <w:r w:rsidR="00EC6B2E" w:rsidRPr="007C5219">
              <w:rPr>
                <w:rFonts w:cs="Arial"/>
              </w:rPr>
              <w:t>flows of</w:t>
            </w:r>
            <w:r w:rsidR="004558E5" w:rsidRPr="007C5219">
              <w:rPr>
                <w:rFonts w:cs="Arial"/>
              </w:rPr>
              <w:t xml:space="preserve"> major </w:t>
            </w:r>
            <w:r w:rsidR="00F865C4">
              <w:rPr>
                <w:rFonts w:cs="Arial"/>
              </w:rPr>
              <w:t>economic</w:t>
            </w:r>
            <w:r w:rsidR="004558E5" w:rsidRPr="007C5219">
              <w:rPr>
                <w:rFonts w:cs="Arial"/>
              </w:rPr>
              <w:t xml:space="preserve"> </w:t>
            </w:r>
            <w:r w:rsidR="00F865C4">
              <w:rPr>
                <w:rFonts w:cs="Arial"/>
              </w:rPr>
              <w:t>sectors</w:t>
            </w:r>
            <w:r w:rsidR="0011730C" w:rsidRPr="007C5219">
              <w:rPr>
                <w:rFonts w:cs="Arial"/>
              </w:rPr>
              <w:t xml:space="preserve"> </w:t>
            </w:r>
            <w:r w:rsidR="00EC6B2E" w:rsidRPr="007C5219">
              <w:rPr>
                <w:rFonts w:cs="Arial"/>
              </w:rPr>
              <w:t>within the State and to other states</w:t>
            </w:r>
            <w:r w:rsidR="00F865C4">
              <w:rPr>
                <w:rFonts w:cs="Arial"/>
              </w:rPr>
              <w:t xml:space="preserve"> (e.g., mining and agricultural commodities)</w:t>
            </w:r>
            <w:r w:rsidR="00EC6B2E" w:rsidRPr="007C5219">
              <w:rPr>
                <w:rFonts w:cs="Arial"/>
              </w:rPr>
              <w:t>.</w:t>
            </w:r>
            <w:r w:rsidR="0076093B">
              <w:rPr>
                <w:rFonts w:cs="Arial"/>
              </w:rPr>
              <w:t xml:space="preserve"> We will apply </w:t>
            </w:r>
            <w:r w:rsidR="00133A9E" w:rsidRPr="007C5219">
              <w:rPr>
                <w:rFonts w:cs="Arial"/>
                <w:i/>
              </w:rPr>
              <w:t>the commodity flow enhanced MN-</w:t>
            </w:r>
            <w:r w:rsidR="008C5165">
              <w:rPr>
                <w:rFonts w:cs="Arial"/>
                <w:i/>
              </w:rPr>
              <w:t>US</w:t>
            </w:r>
            <w:r w:rsidR="00225BF1">
              <w:rPr>
                <w:rFonts w:cs="Arial"/>
                <w:i/>
              </w:rPr>
              <w:t xml:space="preserve"> </w:t>
            </w:r>
            <w:r w:rsidR="00133A9E" w:rsidRPr="007C5219">
              <w:rPr>
                <w:rFonts w:cs="Arial"/>
                <w:i/>
              </w:rPr>
              <w:t xml:space="preserve">EEIO to several </w:t>
            </w:r>
            <w:r w:rsidR="00225BF1">
              <w:rPr>
                <w:rFonts w:cs="Arial"/>
                <w:i/>
              </w:rPr>
              <w:t>case</w:t>
            </w:r>
            <w:r w:rsidR="00133A9E" w:rsidRPr="007C5219">
              <w:rPr>
                <w:rFonts w:cs="Arial"/>
                <w:i/>
              </w:rPr>
              <w:t xml:space="preserve"> </w:t>
            </w:r>
            <w:r w:rsidR="00225BF1">
              <w:rPr>
                <w:rFonts w:cs="Arial"/>
                <w:i/>
              </w:rPr>
              <w:t>studies</w:t>
            </w:r>
            <w:r w:rsidR="00133A9E" w:rsidRPr="007C5219">
              <w:rPr>
                <w:rFonts w:cs="Arial"/>
                <w:i/>
              </w:rPr>
              <w:t xml:space="preserve"> of interest to stakeholders to understand benefits and environmental burdens of regional economic planning in </w:t>
            </w:r>
            <w:r w:rsidR="00225BF1">
              <w:rPr>
                <w:rFonts w:cs="Arial"/>
                <w:i/>
              </w:rPr>
              <w:t>the S</w:t>
            </w:r>
            <w:r w:rsidR="00133A9E" w:rsidRPr="007C5219">
              <w:rPr>
                <w:rFonts w:cs="Arial"/>
                <w:i/>
              </w:rPr>
              <w:t>tate</w:t>
            </w:r>
            <w:r w:rsidR="00225BF1">
              <w:rPr>
                <w:rFonts w:cs="Arial"/>
                <w:i/>
              </w:rPr>
              <w:t>.</w:t>
            </w:r>
          </w:p>
        </w:tc>
      </w:tr>
    </w:tbl>
    <w:p w14:paraId="79E2ED20" w14:textId="77777777" w:rsidR="00437810" w:rsidRPr="007C5219" w:rsidRDefault="00437810" w:rsidP="00437810">
      <w:pPr>
        <w:rPr>
          <w:rFonts w:cs="Arial"/>
          <w:i/>
          <w:sz w:val="4"/>
          <w:szCs w:val="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437810" w:rsidRPr="007C5219" w14:paraId="7533B979" w14:textId="77777777" w:rsidTr="00350C7C">
        <w:tc>
          <w:tcPr>
            <w:tcW w:w="8284" w:type="dxa"/>
          </w:tcPr>
          <w:p w14:paraId="11AFDDCA" w14:textId="77777777" w:rsidR="00437810" w:rsidRPr="007C5219" w:rsidRDefault="00437810" w:rsidP="00AA1BC0">
            <w:pPr>
              <w:rPr>
                <w:rFonts w:cs="Arial"/>
                <w:b/>
              </w:rPr>
            </w:pPr>
            <w:r w:rsidRPr="007C5219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22DC36EC" w14:textId="77777777" w:rsidR="00437810" w:rsidRPr="007C5219" w:rsidRDefault="00437810" w:rsidP="00AA1BC0">
            <w:pPr>
              <w:jc w:val="center"/>
              <w:rPr>
                <w:rFonts w:cs="Arial"/>
                <w:b/>
              </w:rPr>
            </w:pPr>
            <w:r w:rsidRPr="007C5219">
              <w:rPr>
                <w:rFonts w:cs="Arial"/>
                <w:b/>
              </w:rPr>
              <w:t>Completion Date</w:t>
            </w:r>
          </w:p>
        </w:tc>
      </w:tr>
      <w:tr w:rsidR="00437810" w:rsidRPr="007C5219" w14:paraId="366DA34E" w14:textId="77777777" w:rsidTr="00350C7C">
        <w:tc>
          <w:tcPr>
            <w:tcW w:w="8284" w:type="dxa"/>
          </w:tcPr>
          <w:p w14:paraId="5C5F4A92" w14:textId="571A068D" w:rsidR="00437810" w:rsidRPr="007C5219" w:rsidRDefault="00437810" w:rsidP="00AA1BC0">
            <w:pPr>
              <w:rPr>
                <w:rFonts w:cs="Arial"/>
                <w:i/>
              </w:rPr>
            </w:pPr>
            <w:r w:rsidRPr="007C5219">
              <w:rPr>
                <w:rFonts w:cs="Arial"/>
                <w:i/>
              </w:rPr>
              <w:t xml:space="preserve">1.  </w:t>
            </w:r>
            <w:r w:rsidR="003A0720" w:rsidRPr="007C5219">
              <w:rPr>
                <w:rFonts w:cs="Arial"/>
                <w:i/>
              </w:rPr>
              <w:t xml:space="preserve">Estimate inter-county flows of </w:t>
            </w:r>
            <w:r w:rsidR="00225BF1">
              <w:rPr>
                <w:rFonts w:cs="Arial"/>
                <w:i/>
              </w:rPr>
              <w:t xml:space="preserve">major sectors (e.g., </w:t>
            </w:r>
            <w:r w:rsidR="003A0720" w:rsidRPr="007C5219">
              <w:rPr>
                <w:rFonts w:cs="Arial"/>
                <w:i/>
              </w:rPr>
              <w:t>mining</w:t>
            </w:r>
            <w:r w:rsidR="000A01C4">
              <w:rPr>
                <w:rFonts w:cs="Arial"/>
                <w:i/>
              </w:rPr>
              <w:t xml:space="preserve">, </w:t>
            </w:r>
            <w:r w:rsidR="000A01C4" w:rsidRPr="007C5219">
              <w:rPr>
                <w:rFonts w:cs="Arial"/>
                <w:i/>
              </w:rPr>
              <w:t>agriculture</w:t>
            </w:r>
            <w:r w:rsidR="00225BF1">
              <w:rPr>
                <w:rFonts w:cs="Arial"/>
                <w:i/>
              </w:rPr>
              <w:t>)</w:t>
            </w:r>
          </w:p>
        </w:tc>
        <w:tc>
          <w:tcPr>
            <w:tcW w:w="1786" w:type="dxa"/>
          </w:tcPr>
          <w:p w14:paraId="4EBCA75E" w14:textId="331E1399" w:rsidR="00437810" w:rsidRPr="007C5219" w:rsidRDefault="00F70752" w:rsidP="00AA1BC0">
            <w:pPr>
              <w:rPr>
                <w:rFonts w:cs="Arial"/>
                <w:i/>
              </w:rPr>
            </w:pPr>
            <w:r w:rsidRPr="007C5219">
              <w:rPr>
                <w:rFonts w:cs="Arial"/>
                <w:i/>
              </w:rPr>
              <w:t>Feb 1st,</w:t>
            </w:r>
            <w:r w:rsidR="005240F2" w:rsidRPr="007C5219">
              <w:rPr>
                <w:rFonts w:cs="Arial"/>
                <w:i/>
              </w:rPr>
              <w:t xml:space="preserve"> </w:t>
            </w:r>
            <w:r w:rsidRPr="007C5219">
              <w:rPr>
                <w:rFonts w:cs="Arial"/>
                <w:i/>
              </w:rPr>
              <w:t>202</w:t>
            </w:r>
            <w:r w:rsidR="000A2DC3">
              <w:rPr>
                <w:rFonts w:cs="Arial"/>
                <w:i/>
              </w:rPr>
              <w:t>2</w:t>
            </w:r>
          </w:p>
        </w:tc>
      </w:tr>
      <w:tr w:rsidR="00437810" w:rsidRPr="007C5219" w14:paraId="1004B10D" w14:textId="77777777" w:rsidTr="00350C7C">
        <w:tc>
          <w:tcPr>
            <w:tcW w:w="8284" w:type="dxa"/>
          </w:tcPr>
          <w:p w14:paraId="271EBF3B" w14:textId="32C9D663" w:rsidR="00437810" w:rsidRPr="00E47193" w:rsidRDefault="00437810" w:rsidP="00AA1BC0">
            <w:pPr>
              <w:rPr>
                <w:rFonts w:cs="Arial"/>
                <w:i/>
              </w:rPr>
            </w:pPr>
            <w:r w:rsidRPr="00E47193">
              <w:rPr>
                <w:rFonts w:cs="Arial"/>
                <w:i/>
              </w:rPr>
              <w:t xml:space="preserve">2.  </w:t>
            </w:r>
            <w:r w:rsidR="00225BF1" w:rsidRPr="00E47193">
              <w:rPr>
                <w:rFonts w:cs="Arial"/>
                <w:i/>
              </w:rPr>
              <w:t>Engage</w:t>
            </w:r>
            <w:r w:rsidR="00133A9E" w:rsidRPr="00E47193">
              <w:rPr>
                <w:rFonts w:cs="Arial"/>
                <w:i/>
              </w:rPr>
              <w:t xml:space="preserve"> stakeholders </w:t>
            </w:r>
            <w:r w:rsidR="000A01C4" w:rsidRPr="00E47193">
              <w:rPr>
                <w:rFonts w:cs="Arial"/>
                <w:i/>
              </w:rPr>
              <w:t xml:space="preserve">on application of the commodity flow enhanced model in </w:t>
            </w:r>
            <w:r w:rsidR="005249B1" w:rsidRPr="00E47193">
              <w:rPr>
                <w:rFonts w:cs="Arial"/>
                <w:i/>
              </w:rPr>
              <w:t xml:space="preserve">sustainable development and supply chain </w:t>
            </w:r>
            <w:r w:rsidR="000A01C4" w:rsidRPr="00E47193">
              <w:rPr>
                <w:rFonts w:cs="Arial"/>
                <w:i/>
              </w:rPr>
              <w:t>decision-making</w:t>
            </w:r>
          </w:p>
        </w:tc>
        <w:tc>
          <w:tcPr>
            <w:tcW w:w="1786" w:type="dxa"/>
          </w:tcPr>
          <w:p w14:paraId="619AF061" w14:textId="23E29B8B" w:rsidR="00437810" w:rsidRPr="007C5219" w:rsidRDefault="00793EF0" w:rsidP="00AA1BC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Sep</w:t>
            </w:r>
            <w:r w:rsidR="00F70752" w:rsidRPr="007C5219">
              <w:rPr>
                <w:rFonts w:cs="Arial"/>
                <w:i/>
              </w:rPr>
              <w:t xml:space="preserve"> 1st</w:t>
            </w:r>
            <w:r w:rsidR="00437810" w:rsidRPr="007C5219">
              <w:rPr>
                <w:rFonts w:cs="Arial"/>
                <w:i/>
              </w:rPr>
              <w:t>,202</w:t>
            </w:r>
            <w:r w:rsidR="000A2DC3">
              <w:rPr>
                <w:rFonts w:cs="Arial"/>
                <w:i/>
              </w:rPr>
              <w:t>2</w:t>
            </w:r>
          </w:p>
        </w:tc>
      </w:tr>
    </w:tbl>
    <w:p w14:paraId="1F090436" w14:textId="77777777" w:rsidR="00437810" w:rsidRPr="007C5219" w:rsidRDefault="00437810" w:rsidP="00437810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  <w:sz w:val="4"/>
          <w:szCs w:val="4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2695"/>
      </w:tblGrid>
      <w:tr w:rsidR="00437810" w:rsidRPr="007C5219" w14:paraId="330DF1A0" w14:textId="77777777" w:rsidTr="005240F2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37F33FD8" w14:textId="77777777" w:rsidR="00437810" w:rsidRPr="007C5219" w:rsidRDefault="00437810" w:rsidP="00AA1BC0">
            <w:pPr>
              <w:widowControl w:val="0"/>
              <w:rPr>
                <w:rFonts w:cs="Arial"/>
                <w:b/>
                <w:lang w:eastAsia="zh-CN"/>
              </w:rPr>
            </w:pPr>
            <w:r w:rsidRPr="007C5219">
              <w:rPr>
                <w:rFonts w:cs="Arial"/>
                <w:b/>
              </w:rPr>
              <w:t>Activity 3 Title:</w:t>
            </w:r>
            <w:r w:rsidRPr="007C5219">
              <w:rPr>
                <w:rFonts w:cs="Arial"/>
              </w:rPr>
              <w:t xml:space="preserve"> </w:t>
            </w:r>
            <w:r w:rsidRPr="007C5219">
              <w:rPr>
                <w:rFonts w:cs="Arial"/>
                <w:i/>
              </w:rPr>
              <w:t xml:space="preserve">Identify drivers of pollution, develop mitigation strategies, and </w:t>
            </w:r>
            <w:r w:rsidR="003A0720" w:rsidRPr="007C5219">
              <w:rPr>
                <w:rFonts w:cs="Arial"/>
                <w:i/>
              </w:rPr>
              <w:t>incorporate results into the MN Natural Resource Atlas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9E50C1A" w14:textId="00BE7A38" w:rsidR="00437810" w:rsidRPr="007C5219" w:rsidRDefault="00437810" w:rsidP="00AA1BC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7C5219">
              <w:rPr>
                <w:rFonts w:cs="Arial"/>
                <w:b/>
                <w:bCs/>
                <w:color w:val="000000"/>
              </w:rPr>
              <w:t xml:space="preserve">ENRTF BUDGET: $ </w:t>
            </w:r>
            <w:r w:rsidR="00D26E75">
              <w:rPr>
                <w:rFonts w:cs="Arial"/>
                <w:b/>
                <w:bCs/>
                <w:color w:val="000000"/>
              </w:rPr>
              <w:t>179,392</w:t>
            </w:r>
          </w:p>
        </w:tc>
      </w:tr>
      <w:tr w:rsidR="00437810" w:rsidRPr="007C5219" w14:paraId="1D95E2FC" w14:textId="77777777" w:rsidTr="00AA1BC0">
        <w:tc>
          <w:tcPr>
            <w:tcW w:w="10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B5919" w14:textId="242C486B" w:rsidR="00437810" w:rsidRPr="007C5219" w:rsidRDefault="00437810" w:rsidP="00AA1BC0">
            <w:pPr>
              <w:widowControl w:val="0"/>
              <w:rPr>
                <w:rFonts w:cs="Arial"/>
                <w:i/>
                <w:color w:val="000000" w:themeColor="text1"/>
              </w:rPr>
            </w:pPr>
            <w:r w:rsidRPr="007C5219">
              <w:rPr>
                <w:rFonts w:cs="Arial"/>
                <w:b/>
              </w:rPr>
              <w:t xml:space="preserve">Description: </w:t>
            </w:r>
            <w:r w:rsidR="00BF3948" w:rsidRPr="007C5219">
              <w:rPr>
                <w:rFonts w:cs="Arial"/>
                <w:i/>
                <w:color w:val="000000" w:themeColor="text1"/>
              </w:rPr>
              <w:t xml:space="preserve">Besides </w:t>
            </w:r>
            <w:r w:rsidR="000A01C4">
              <w:rPr>
                <w:rFonts w:cs="Arial"/>
                <w:i/>
                <w:color w:val="000000" w:themeColor="text1"/>
              </w:rPr>
              <w:t>engaging stakeholders on case studies of their interest</w:t>
            </w:r>
            <w:r w:rsidR="00BF3948" w:rsidRPr="007C5219">
              <w:rPr>
                <w:rFonts w:cs="Arial"/>
                <w:i/>
                <w:color w:val="000000" w:themeColor="text1"/>
              </w:rPr>
              <w:t xml:space="preserve">, we will </w:t>
            </w:r>
            <w:r w:rsidR="00454905" w:rsidRPr="007C5219">
              <w:rPr>
                <w:rFonts w:cs="Arial"/>
                <w:i/>
                <w:color w:val="000000" w:themeColor="text1"/>
              </w:rPr>
              <w:t>apply the model to 1) identify major drivers</w:t>
            </w:r>
            <w:r w:rsidR="006C08D6" w:rsidRPr="007C5219">
              <w:rPr>
                <w:rFonts w:cs="Arial"/>
                <w:i/>
                <w:color w:val="000000" w:themeColor="text1"/>
              </w:rPr>
              <w:t xml:space="preserve"> of</w:t>
            </w:r>
            <w:r w:rsidR="00454905" w:rsidRPr="007C5219">
              <w:rPr>
                <w:rFonts w:cs="Arial"/>
                <w:i/>
                <w:color w:val="000000" w:themeColor="text1"/>
              </w:rPr>
              <w:t xml:space="preserve"> </w:t>
            </w:r>
            <w:r w:rsidRPr="007C5219">
              <w:rPr>
                <w:rFonts w:cs="Arial"/>
                <w:i/>
                <w:color w:val="000000" w:themeColor="text1"/>
              </w:rPr>
              <w:t>pollution in</w:t>
            </w:r>
            <w:r w:rsidR="005249B1">
              <w:rPr>
                <w:rFonts w:cs="Arial"/>
                <w:i/>
                <w:color w:val="000000" w:themeColor="text1"/>
              </w:rPr>
              <w:t xml:space="preserve"> the</w:t>
            </w:r>
            <w:r w:rsidRPr="007C5219">
              <w:rPr>
                <w:rFonts w:cs="Arial"/>
                <w:i/>
                <w:color w:val="000000" w:themeColor="text1"/>
              </w:rPr>
              <w:t xml:space="preserve"> </w:t>
            </w:r>
            <w:r w:rsidR="005249B1">
              <w:rPr>
                <w:rFonts w:cs="Arial"/>
                <w:i/>
                <w:color w:val="000000" w:themeColor="text1"/>
              </w:rPr>
              <w:t>S</w:t>
            </w:r>
            <w:r w:rsidRPr="007C5219">
              <w:rPr>
                <w:rFonts w:cs="Arial"/>
                <w:i/>
                <w:color w:val="000000" w:themeColor="text1"/>
              </w:rPr>
              <w:t>tate</w:t>
            </w:r>
            <w:r w:rsidR="00454905" w:rsidRPr="007C5219">
              <w:rPr>
                <w:rFonts w:cs="Arial"/>
                <w:i/>
                <w:color w:val="000000" w:themeColor="text1"/>
              </w:rPr>
              <w:t>, and 2)</w:t>
            </w:r>
            <w:r w:rsidRPr="007C5219">
              <w:rPr>
                <w:rFonts w:cs="Arial"/>
                <w:i/>
                <w:color w:val="000000" w:themeColor="text1"/>
              </w:rPr>
              <w:t xml:space="preserve"> develop </w:t>
            </w:r>
            <w:r w:rsidR="00454905" w:rsidRPr="007C5219">
              <w:rPr>
                <w:rFonts w:cs="Arial"/>
                <w:i/>
                <w:color w:val="000000" w:themeColor="text1"/>
              </w:rPr>
              <w:t>supply</w:t>
            </w:r>
            <w:r w:rsidR="005249B1">
              <w:rPr>
                <w:rFonts w:cs="Arial"/>
                <w:i/>
                <w:color w:val="000000" w:themeColor="text1"/>
              </w:rPr>
              <w:t xml:space="preserve"> </w:t>
            </w:r>
            <w:r w:rsidR="00454905" w:rsidRPr="007C5219">
              <w:rPr>
                <w:rFonts w:cs="Arial"/>
                <w:i/>
                <w:color w:val="000000" w:themeColor="text1"/>
              </w:rPr>
              <w:t>chain</w:t>
            </w:r>
            <w:r w:rsidRPr="007C5219">
              <w:rPr>
                <w:rFonts w:cs="Arial"/>
                <w:i/>
                <w:color w:val="000000" w:themeColor="text1"/>
              </w:rPr>
              <w:t xml:space="preserve"> </w:t>
            </w:r>
            <w:r w:rsidR="005249B1">
              <w:rPr>
                <w:rFonts w:cs="Arial"/>
                <w:i/>
                <w:color w:val="000000" w:themeColor="text1"/>
              </w:rPr>
              <w:t xml:space="preserve">mitigation </w:t>
            </w:r>
            <w:r w:rsidRPr="007C5219">
              <w:rPr>
                <w:rFonts w:cs="Arial"/>
                <w:i/>
                <w:color w:val="000000" w:themeColor="text1"/>
              </w:rPr>
              <w:t xml:space="preserve">strategies for reducing pollution. </w:t>
            </w:r>
            <w:r w:rsidR="00454905" w:rsidRPr="007C5219">
              <w:rPr>
                <w:rFonts w:cs="Arial"/>
                <w:i/>
                <w:color w:val="000000" w:themeColor="text1"/>
              </w:rPr>
              <w:t xml:space="preserve">We will also incorporate the model results </w:t>
            </w:r>
            <w:r w:rsidR="005249B1">
              <w:rPr>
                <w:rFonts w:cs="Arial"/>
                <w:i/>
                <w:color w:val="000000" w:themeColor="text1"/>
              </w:rPr>
              <w:t>in</w:t>
            </w:r>
            <w:r w:rsidR="00454905" w:rsidRPr="007C5219">
              <w:rPr>
                <w:rFonts w:cs="Arial"/>
                <w:i/>
                <w:color w:val="000000" w:themeColor="text1"/>
              </w:rPr>
              <w:t xml:space="preserve">to </w:t>
            </w:r>
            <w:r w:rsidR="00454905" w:rsidRPr="007C5219">
              <w:rPr>
                <w:rFonts w:cs="Arial"/>
                <w:i/>
              </w:rPr>
              <w:t>the MN Natural Resource Atlas,</w:t>
            </w:r>
            <w:r w:rsidR="00454905" w:rsidRPr="007C5219">
              <w:rPr>
                <w:rFonts w:cs="Arial"/>
                <w:i/>
                <w:color w:val="000000" w:themeColor="text1"/>
              </w:rPr>
              <w:t xml:space="preserve"> and </w:t>
            </w:r>
            <w:r w:rsidRPr="007C5219">
              <w:rPr>
                <w:rFonts w:cs="Arial"/>
                <w:i/>
                <w:color w:val="000000" w:themeColor="text1"/>
              </w:rPr>
              <w:t>disseminate</w:t>
            </w:r>
            <w:r w:rsidR="00454905" w:rsidRPr="007C5219">
              <w:rPr>
                <w:rFonts w:cs="Arial"/>
                <w:i/>
                <w:color w:val="000000" w:themeColor="text1"/>
              </w:rPr>
              <w:t xml:space="preserve"> the model </w:t>
            </w:r>
            <w:r w:rsidR="00B80EA6" w:rsidRPr="007C5219">
              <w:rPr>
                <w:rFonts w:cs="Arial"/>
                <w:i/>
                <w:color w:val="000000" w:themeColor="text1"/>
              </w:rPr>
              <w:t xml:space="preserve">for </w:t>
            </w:r>
            <w:r w:rsidR="005249B1">
              <w:rPr>
                <w:rFonts w:cs="Arial"/>
                <w:i/>
                <w:color w:val="000000" w:themeColor="text1"/>
              </w:rPr>
              <w:t>public policy and managerial use</w:t>
            </w:r>
            <w:r w:rsidRPr="007C5219">
              <w:rPr>
                <w:rFonts w:cs="Arial"/>
                <w:i/>
                <w:color w:val="000000" w:themeColor="text1"/>
              </w:rPr>
              <w:t>.</w:t>
            </w:r>
          </w:p>
        </w:tc>
      </w:tr>
    </w:tbl>
    <w:p w14:paraId="1A319B4A" w14:textId="77777777" w:rsidR="00437810" w:rsidRPr="007C5219" w:rsidRDefault="00437810" w:rsidP="00437810">
      <w:pPr>
        <w:rPr>
          <w:rFonts w:cs="Arial"/>
          <w:i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437810" w:rsidRPr="007C5219" w14:paraId="263AACA6" w14:textId="77777777" w:rsidTr="00AA1BC0">
        <w:tc>
          <w:tcPr>
            <w:tcW w:w="8478" w:type="dxa"/>
          </w:tcPr>
          <w:p w14:paraId="7C1F3321" w14:textId="77777777" w:rsidR="00437810" w:rsidRPr="007C5219" w:rsidRDefault="00437810" w:rsidP="00AA1BC0">
            <w:pPr>
              <w:rPr>
                <w:rFonts w:cs="Arial"/>
                <w:b/>
              </w:rPr>
            </w:pPr>
            <w:r w:rsidRPr="007C5219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53F9839B" w14:textId="77777777" w:rsidR="00437810" w:rsidRPr="007C5219" w:rsidRDefault="00437810" w:rsidP="00AA1BC0">
            <w:pPr>
              <w:jc w:val="center"/>
              <w:rPr>
                <w:rFonts w:cs="Arial"/>
                <w:b/>
              </w:rPr>
            </w:pPr>
            <w:r w:rsidRPr="007C5219">
              <w:rPr>
                <w:rFonts w:cs="Arial"/>
                <w:b/>
              </w:rPr>
              <w:t>Completion Date</w:t>
            </w:r>
          </w:p>
        </w:tc>
      </w:tr>
      <w:tr w:rsidR="00437810" w:rsidRPr="007C5219" w14:paraId="05508767" w14:textId="77777777" w:rsidTr="00AA1BC0">
        <w:tc>
          <w:tcPr>
            <w:tcW w:w="8478" w:type="dxa"/>
          </w:tcPr>
          <w:p w14:paraId="33FE1FE4" w14:textId="77777777" w:rsidR="00437810" w:rsidRPr="007C5219" w:rsidRDefault="00437810" w:rsidP="00AA1BC0">
            <w:pPr>
              <w:rPr>
                <w:rFonts w:cs="Arial"/>
                <w:i/>
              </w:rPr>
            </w:pPr>
            <w:r w:rsidRPr="007C5219">
              <w:rPr>
                <w:rFonts w:cs="Arial"/>
                <w:i/>
              </w:rPr>
              <w:t>1.  Analyze</w:t>
            </w:r>
            <w:r w:rsidR="006C08D6" w:rsidRPr="007C5219">
              <w:rPr>
                <w:rFonts w:cs="Arial"/>
                <w:i/>
              </w:rPr>
              <w:t xml:space="preserve"> major</w:t>
            </w:r>
            <w:r w:rsidRPr="007C5219">
              <w:rPr>
                <w:rFonts w:cs="Arial"/>
                <w:i/>
              </w:rPr>
              <w:t xml:space="preserve"> social-economic </w:t>
            </w:r>
            <w:r w:rsidR="006C08D6" w:rsidRPr="007C5219">
              <w:rPr>
                <w:rFonts w:cs="Arial"/>
                <w:i/>
              </w:rPr>
              <w:t>drivers</w:t>
            </w:r>
            <w:r w:rsidRPr="007C5219">
              <w:rPr>
                <w:rFonts w:cs="Arial"/>
                <w:i/>
              </w:rPr>
              <w:t xml:space="preserve"> of </w:t>
            </w:r>
            <w:r w:rsidR="006C08D6" w:rsidRPr="007C5219">
              <w:rPr>
                <w:rFonts w:cs="Arial"/>
                <w:i/>
              </w:rPr>
              <w:t>air, water, soil</w:t>
            </w:r>
            <w:r w:rsidRPr="007C5219">
              <w:rPr>
                <w:rFonts w:cs="Arial"/>
                <w:i/>
              </w:rPr>
              <w:t xml:space="preserve"> pollution in Minnesota </w:t>
            </w:r>
          </w:p>
        </w:tc>
        <w:tc>
          <w:tcPr>
            <w:tcW w:w="1800" w:type="dxa"/>
          </w:tcPr>
          <w:p w14:paraId="371A4186" w14:textId="08CCED13" w:rsidR="00437810" w:rsidRPr="007C5219" w:rsidRDefault="00F70752" w:rsidP="00AA1BC0">
            <w:pPr>
              <w:rPr>
                <w:rFonts w:cs="Arial"/>
                <w:i/>
              </w:rPr>
            </w:pPr>
            <w:r w:rsidRPr="007C5219">
              <w:rPr>
                <w:rFonts w:cs="Arial"/>
                <w:i/>
              </w:rPr>
              <w:t xml:space="preserve">Jun </w:t>
            </w:r>
            <w:r w:rsidR="00881E01">
              <w:rPr>
                <w:rFonts w:cs="Arial"/>
                <w:i/>
              </w:rPr>
              <w:t>30th</w:t>
            </w:r>
            <w:r w:rsidR="00437810" w:rsidRPr="007C5219">
              <w:rPr>
                <w:rFonts w:cs="Arial"/>
                <w:i/>
              </w:rPr>
              <w:t>,</w:t>
            </w:r>
            <w:r w:rsidR="005240F2" w:rsidRPr="007C5219">
              <w:rPr>
                <w:rFonts w:cs="Arial"/>
                <w:i/>
              </w:rPr>
              <w:t xml:space="preserve"> </w:t>
            </w:r>
            <w:r w:rsidR="00437810" w:rsidRPr="007C5219">
              <w:rPr>
                <w:rFonts w:cs="Arial"/>
                <w:i/>
              </w:rPr>
              <w:t>202</w:t>
            </w:r>
            <w:r w:rsidR="000A2DC3">
              <w:rPr>
                <w:rFonts w:cs="Arial"/>
                <w:i/>
              </w:rPr>
              <w:t>3</w:t>
            </w:r>
          </w:p>
        </w:tc>
      </w:tr>
      <w:tr w:rsidR="00437810" w:rsidRPr="007C5219" w14:paraId="62F9A232" w14:textId="77777777" w:rsidTr="00AA1BC0">
        <w:tc>
          <w:tcPr>
            <w:tcW w:w="8478" w:type="dxa"/>
          </w:tcPr>
          <w:p w14:paraId="7D672619" w14:textId="6A8734C0" w:rsidR="00437810" w:rsidRPr="007C5219" w:rsidRDefault="00437810" w:rsidP="00AA1BC0">
            <w:pPr>
              <w:rPr>
                <w:rFonts w:cs="Arial"/>
                <w:i/>
              </w:rPr>
            </w:pPr>
            <w:r w:rsidRPr="007C5219">
              <w:rPr>
                <w:rFonts w:cs="Arial"/>
                <w:i/>
              </w:rPr>
              <w:t xml:space="preserve">2.  Develop </w:t>
            </w:r>
            <w:r w:rsidR="005249B1">
              <w:rPr>
                <w:rFonts w:cs="Arial"/>
                <w:i/>
              </w:rPr>
              <w:t>economy-wide and sector-specific</w:t>
            </w:r>
            <w:r w:rsidRPr="007C5219">
              <w:rPr>
                <w:rFonts w:cs="Arial"/>
                <w:i/>
              </w:rPr>
              <w:t xml:space="preserve"> supply</w:t>
            </w:r>
            <w:r w:rsidR="005249B1">
              <w:rPr>
                <w:rFonts w:cs="Arial"/>
                <w:i/>
              </w:rPr>
              <w:t xml:space="preserve"> </w:t>
            </w:r>
            <w:r w:rsidRPr="007C5219">
              <w:rPr>
                <w:rFonts w:cs="Arial"/>
                <w:i/>
              </w:rPr>
              <w:t xml:space="preserve">chain pollution mitigation </w:t>
            </w:r>
            <w:r w:rsidR="00192AFB" w:rsidRPr="007C5219">
              <w:rPr>
                <w:rFonts w:cs="Arial"/>
                <w:i/>
              </w:rPr>
              <w:t>strategies</w:t>
            </w:r>
          </w:p>
        </w:tc>
        <w:tc>
          <w:tcPr>
            <w:tcW w:w="1800" w:type="dxa"/>
          </w:tcPr>
          <w:p w14:paraId="792D894F" w14:textId="09A78780" w:rsidR="00437810" w:rsidRPr="007C5219" w:rsidRDefault="00F70752" w:rsidP="00AA1BC0">
            <w:pPr>
              <w:rPr>
                <w:rFonts w:cs="Arial"/>
                <w:i/>
              </w:rPr>
            </w:pPr>
            <w:r w:rsidRPr="007C5219">
              <w:rPr>
                <w:rFonts w:cs="Arial"/>
                <w:i/>
              </w:rPr>
              <w:t xml:space="preserve">Jun </w:t>
            </w:r>
            <w:r w:rsidR="00881E01">
              <w:rPr>
                <w:rFonts w:cs="Arial"/>
                <w:i/>
              </w:rPr>
              <w:t>30th</w:t>
            </w:r>
            <w:r w:rsidR="00437810" w:rsidRPr="007C5219">
              <w:rPr>
                <w:rFonts w:cs="Arial"/>
                <w:i/>
              </w:rPr>
              <w:t>,</w:t>
            </w:r>
            <w:r w:rsidR="005240F2" w:rsidRPr="007C5219">
              <w:rPr>
                <w:rFonts w:cs="Arial"/>
                <w:i/>
              </w:rPr>
              <w:t xml:space="preserve"> </w:t>
            </w:r>
            <w:r w:rsidR="00437810" w:rsidRPr="007C5219">
              <w:rPr>
                <w:rFonts w:cs="Arial"/>
                <w:i/>
              </w:rPr>
              <w:t>202</w:t>
            </w:r>
            <w:r w:rsidR="000A2DC3">
              <w:rPr>
                <w:rFonts w:cs="Arial"/>
                <w:i/>
              </w:rPr>
              <w:t>3</w:t>
            </w:r>
          </w:p>
        </w:tc>
      </w:tr>
      <w:tr w:rsidR="00437810" w:rsidRPr="009D6EC8" w14:paraId="1D8F7A0A" w14:textId="77777777" w:rsidTr="00AA1BC0">
        <w:tc>
          <w:tcPr>
            <w:tcW w:w="8478" w:type="dxa"/>
          </w:tcPr>
          <w:p w14:paraId="1DD033CE" w14:textId="77777777" w:rsidR="00437810" w:rsidRPr="007C5219" w:rsidRDefault="00437810" w:rsidP="00AA1BC0">
            <w:pPr>
              <w:rPr>
                <w:rFonts w:cs="Arial"/>
                <w:i/>
              </w:rPr>
            </w:pPr>
            <w:r w:rsidRPr="007C5219">
              <w:rPr>
                <w:rFonts w:cs="Arial"/>
                <w:i/>
              </w:rPr>
              <w:t xml:space="preserve">3.  </w:t>
            </w:r>
            <w:r w:rsidR="00192AFB" w:rsidRPr="007C5219">
              <w:rPr>
                <w:rFonts w:cs="Arial"/>
                <w:i/>
              </w:rPr>
              <w:t>Incorporate results into the MN Natural Resource Atlas</w:t>
            </w:r>
          </w:p>
        </w:tc>
        <w:tc>
          <w:tcPr>
            <w:tcW w:w="1800" w:type="dxa"/>
          </w:tcPr>
          <w:p w14:paraId="57601EEE" w14:textId="397D0BA2" w:rsidR="00437810" w:rsidRPr="009D6EC8" w:rsidRDefault="00F70752" w:rsidP="00AA1BC0">
            <w:pPr>
              <w:rPr>
                <w:rFonts w:cs="Arial"/>
                <w:i/>
              </w:rPr>
            </w:pPr>
            <w:r w:rsidRPr="007C5219">
              <w:rPr>
                <w:rFonts w:cs="Arial"/>
                <w:i/>
              </w:rPr>
              <w:t xml:space="preserve">Jun </w:t>
            </w:r>
            <w:r w:rsidR="00881E01">
              <w:rPr>
                <w:rFonts w:cs="Arial"/>
                <w:i/>
              </w:rPr>
              <w:t>30th</w:t>
            </w:r>
            <w:r w:rsidR="00437810" w:rsidRPr="007C5219">
              <w:rPr>
                <w:rFonts w:cs="Arial"/>
                <w:i/>
              </w:rPr>
              <w:t>,</w:t>
            </w:r>
            <w:r w:rsidR="005240F2" w:rsidRPr="007C5219">
              <w:rPr>
                <w:rFonts w:cs="Arial"/>
                <w:i/>
              </w:rPr>
              <w:t xml:space="preserve"> </w:t>
            </w:r>
            <w:r w:rsidR="00437810" w:rsidRPr="007C5219">
              <w:rPr>
                <w:rFonts w:cs="Arial"/>
                <w:i/>
              </w:rPr>
              <w:t>202</w:t>
            </w:r>
            <w:r w:rsidR="000A2DC3">
              <w:rPr>
                <w:rFonts w:cs="Arial"/>
                <w:i/>
              </w:rPr>
              <w:t>3</w:t>
            </w:r>
          </w:p>
        </w:tc>
      </w:tr>
    </w:tbl>
    <w:p w14:paraId="2449827D" w14:textId="77777777" w:rsidR="00437810" w:rsidRPr="00AA1BC0" w:rsidRDefault="00437810" w:rsidP="00437810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  <w:sz w:val="4"/>
          <w:szCs w:val="4"/>
        </w:rPr>
      </w:pPr>
    </w:p>
    <w:p w14:paraId="38A49C8A" w14:textId="77777777" w:rsidR="00C0698F" w:rsidRDefault="00C0698F" w:rsidP="00437810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14:paraId="331FB95F" w14:textId="6DE9AD27" w:rsidR="00437810" w:rsidRPr="00073C96" w:rsidRDefault="00437810" w:rsidP="00437810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631741AF" w14:textId="77777777" w:rsidR="00437810" w:rsidRPr="00785360" w:rsidRDefault="00437810" w:rsidP="00437810">
      <w:pPr>
        <w:rPr>
          <w:rFonts w:cs="Arial"/>
          <w:b/>
          <w:bCs/>
          <w:color w:val="000000"/>
        </w:rPr>
      </w:pPr>
      <w:r w:rsidRPr="00785360">
        <w:rPr>
          <w:rFonts w:cs="Arial"/>
          <w:b/>
          <w:bCs/>
          <w:color w:val="000000"/>
        </w:rPr>
        <w:t>A. Partners receiving ENRTF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1978"/>
        <w:gridCol w:w="3420"/>
        <w:gridCol w:w="2155"/>
      </w:tblGrid>
      <w:tr w:rsidR="00437810" w14:paraId="4AE71865" w14:textId="77777777" w:rsidTr="00C0698F">
        <w:tc>
          <w:tcPr>
            <w:tcW w:w="2517" w:type="dxa"/>
          </w:tcPr>
          <w:p w14:paraId="0E3FBE0E" w14:textId="77777777" w:rsidR="00437810" w:rsidRDefault="00437810" w:rsidP="00AA1BC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1978" w:type="dxa"/>
          </w:tcPr>
          <w:p w14:paraId="3E6ACCA5" w14:textId="77777777" w:rsidR="00437810" w:rsidRDefault="00437810" w:rsidP="00AA1BC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</w:t>
            </w:r>
          </w:p>
        </w:tc>
        <w:tc>
          <w:tcPr>
            <w:tcW w:w="3420" w:type="dxa"/>
          </w:tcPr>
          <w:p w14:paraId="22399A34" w14:textId="77777777" w:rsidR="00437810" w:rsidRDefault="00437810" w:rsidP="00AA1BC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Affiliation</w:t>
            </w:r>
          </w:p>
        </w:tc>
        <w:tc>
          <w:tcPr>
            <w:tcW w:w="2155" w:type="dxa"/>
          </w:tcPr>
          <w:p w14:paraId="16DD8294" w14:textId="77777777" w:rsidR="00437810" w:rsidRDefault="00437810" w:rsidP="00AA1BC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Role</w:t>
            </w:r>
          </w:p>
        </w:tc>
      </w:tr>
      <w:tr w:rsidR="00437810" w14:paraId="704D86B2" w14:textId="77777777" w:rsidTr="00C0698F">
        <w:tc>
          <w:tcPr>
            <w:tcW w:w="2517" w:type="dxa"/>
          </w:tcPr>
          <w:p w14:paraId="1E9FB01D" w14:textId="77777777" w:rsidR="00437810" w:rsidRPr="006D34C6" w:rsidRDefault="00437810" w:rsidP="00AA1BC0">
            <w:pPr>
              <w:rPr>
                <w:rFonts w:cs="Arial"/>
                <w:lang w:eastAsia="zh-CN"/>
              </w:rPr>
            </w:pPr>
            <w:r w:rsidRPr="006D34C6">
              <w:rPr>
                <w:rFonts w:cs="Arial"/>
                <w:lang w:eastAsia="zh-CN"/>
              </w:rPr>
              <w:t>Dr. Timothy Smith</w:t>
            </w:r>
          </w:p>
        </w:tc>
        <w:tc>
          <w:tcPr>
            <w:tcW w:w="1978" w:type="dxa"/>
          </w:tcPr>
          <w:p w14:paraId="6F33FEB5" w14:textId="77777777" w:rsidR="00437810" w:rsidRPr="006D34C6" w:rsidRDefault="00437810" w:rsidP="00AA1BC0">
            <w:pPr>
              <w:rPr>
                <w:rFonts w:cs="Arial"/>
              </w:rPr>
            </w:pPr>
            <w:r w:rsidRPr="006D34C6">
              <w:rPr>
                <w:rFonts w:cs="Arial"/>
              </w:rPr>
              <w:t>Professor</w:t>
            </w:r>
          </w:p>
        </w:tc>
        <w:tc>
          <w:tcPr>
            <w:tcW w:w="3420" w:type="dxa"/>
          </w:tcPr>
          <w:p w14:paraId="38BF4C1B" w14:textId="77777777" w:rsidR="00437810" w:rsidRPr="006D34C6" w:rsidRDefault="00437810" w:rsidP="00AA1BC0">
            <w:pPr>
              <w:rPr>
                <w:rFonts w:cs="Arial"/>
              </w:rPr>
            </w:pPr>
            <w:r>
              <w:rPr>
                <w:rFonts w:cs="Arial"/>
              </w:rPr>
              <w:t xml:space="preserve">UMN Dept of </w:t>
            </w:r>
            <w:proofErr w:type="spellStart"/>
            <w:r>
              <w:rPr>
                <w:rFonts w:cs="Arial"/>
              </w:rPr>
              <w:t>Bioprod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Biosys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Eng</w:t>
            </w:r>
            <w:proofErr w:type="spellEnd"/>
          </w:p>
        </w:tc>
        <w:tc>
          <w:tcPr>
            <w:tcW w:w="2155" w:type="dxa"/>
          </w:tcPr>
          <w:p w14:paraId="1DD78672" w14:textId="77777777" w:rsidR="00437810" w:rsidRPr="006D34C6" w:rsidRDefault="00437810" w:rsidP="00AA1BC0">
            <w:pPr>
              <w:rPr>
                <w:rFonts w:cs="Arial"/>
              </w:rPr>
            </w:pPr>
            <w:r>
              <w:rPr>
                <w:rFonts w:cs="Arial"/>
              </w:rPr>
              <w:t>PI</w:t>
            </w:r>
          </w:p>
        </w:tc>
      </w:tr>
      <w:tr w:rsidR="00437810" w14:paraId="1AEFEB9F" w14:textId="77777777" w:rsidTr="00C0698F">
        <w:tc>
          <w:tcPr>
            <w:tcW w:w="2517" w:type="dxa"/>
          </w:tcPr>
          <w:p w14:paraId="69355F36" w14:textId="77777777" w:rsidR="00437810" w:rsidRPr="006D34C6" w:rsidRDefault="00437810" w:rsidP="00AA1BC0">
            <w:pPr>
              <w:rPr>
                <w:rFonts w:cs="Arial"/>
              </w:rPr>
            </w:pPr>
            <w:r>
              <w:rPr>
                <w:rFonts w:cs="Arial"/>
              </w:rPr>
              <w:t>Dr. Yi Yang</w:t>
            </w:r>
          </w:p>
        </w:tc>
        <w:tc>
          <w:tcPr>
            <w:tcW w:w="1978" w:type="dxa"/>
          </w:tcPr>
          <w:p w14:paraId="3F9280E5" w14:textId="75F6E0C7" w:rsidR="00437810" w:rsidRPr="006D34C6" w:rsidRDefault="005249B1" w:rsidP="00AA1BC0">
            <w:pPr>
              <w:rPr>
                <w:rFonts w:cs="Arial"/>
              </w:rPr>
            </w:pPr>
            <w:r>
              <w:rPr>
                <w:rFonts w:cs="Arial"/>
              </w:rPr>
              <w:t>Research associate</w:t>
            </w:r>
          </w:p>
        </w:tc>
        <w:tc>
          <w:tcPr>
            <w:tcW w:w="3420" w:type="dxa"/>
          </w:tcPr>
          <w:p w14:paraId="7267A8B4" w14:textId="77777777" w:rsidR="00437810" w:rsidRPr="006D34C6" w:rsidRDefault="00437810" w:rsidP="00AA1BC0">
            <w:pPr>
              <w:rPr>
                <w:rFonts w:cs="Arial"/>
              </w:rPr>
            </w:pPr>
            <w:r>
              <w:rPr>
                <w:rFonts w:cs="Arial"/>
              </w:rPr>
              <w:t xml:space="preserve">UMN Dept of </w:t>
            </w:r>
            <w:proofErr w:type="spellStart"/>
            <w:r>
              <w:rPr>
                <w:rFonts w:cs="Arial"/>
              </w:rPr>
              <w:t>Bioprod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Biosys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Eng</w:t>
            </w:r>
            <w:proofErr w:type="spellEnd"/>
          </w:p>
        </w:tc>
        <w:tc>
          <w:tcPr>
            <w:tcW w:w="2155" w:type="dxa"/>
          </w:tcPr>
          <w:p w14:paraId="0DC00797" w14:textId="77777777" w:rsidR="00437810" w:rsidRPr="006D34C6" w:rsidRDefault="00437810" w:rsidP="00AA1BC0">
            <w:pPr>
              <w:rPr>
                <w:rFonts w:cs="Arial"/>
              </w:rPr>
            </w:pPr>
            <w:r>
              <w:rPr>
                <w:rFonts w:cs="Arial"/>
              </w:rPr>
              <w:t>Co-PI</w:t>
            </w:r>
          </w:p>
        </w:tc>
      </w:tr>
      <w:tr w:rsidR="00437810" w14:paraId="39722489" w14:textId="77777777" w:rsidTr="00C0698F">
        <w:tc>
          <w:tcPr>
            <w:tcW w:w="2517" w:type="dxa"/>
          </w:tcPr>
          <w:p w14:paraId="012EFC58" w14:textId="3DBE27E2" w:rsidR="00437810" w:rsidRDefault="00C0698F" w:rsidP="00AA1BC0">
            <w:pPr>
              <w:rPr>
                <w:rFonts w:cs="Arial"/>
              </w:rPr>
            </w:pPr>
            <w:r>
              <w:rPr>
                <w:rFonts w:cs="Arial"/>
              </w:rPr>
              <w:t>Dr. Lucinda Johnson</w:t>
            </w:r>
          </w:p>
        </w:tc>
        <w:tc>
          <w:tcPr>
            <w:tcW w:w="1978" w:type="dxa"/>
          </w:tcPr>
          <w:p w14:paraId="02937DAF" w14:textId="4F38627B" w:rsidR="00437810" w:rsidRPr="006D34C6" w:rsidRDefault="00C0698F" w:rsidP="00AA1BC0">
            <w:pPr>
              <w:rPr>
                <w:rFonts w:cs="Arial"/>
              </w:rPr>
            </w:pPr>
            <w:r>
              <w:rPr>
                <w:rFonts w:cs="Arial"/>
              </w:rPr>
              <w:t xml:space="preserve">Associate director </w:t>
            </w:r>
          </w:p>
        </w:tc>
        <w:tc>
          <w:tcPr>
            <w:tcW w:w="3420" w:type="dxa"/>
          </w:tcPr>
          <w:p w14:paraId="6F496183" w14:textId="4F02DF0C" w:rsidR="00437810" w:rsidRPr="006D34C6" w:rsidRDefault="00C0698F" w:rsidP="00AA1BC0">
            <w:pPr>
              <w:rPr>
                <w:rFonts w:cs="Arial"/>
              </w:rPr>
            </w:pPr>
            <w:r>
              <w:rPr>
                <w:rFonts w:cs="Arial"/>
              </w:rPr>
              <w:t>UMD, NRRI</w:t>
            </w:r>
          </w:p>
        </w:tc>
        <w:tc>
          <w:tcPr>
            <w:tcW w:w="2155" w:type="dxa"/>
          </w:tcPr>
          <w:p w14:paraId="6D2EDA1B" w14:textId="06D0E168" w:rsidR="00437810" w:rsidRPr="006D34C6" w:rsidRDefault="00C0698F" w:rsidP="00AA1BC0">
            <w:pPr>
              <w:rPr>
                <w:rFonts w:cs="Arial"/>
              </w:rPr>
            </w:pPr>
            <w:r>
              <w:rPr>
                <w:rFonts w:cs="Arial"/>
              </w:rPr>
              <w:t>Co-PI</w:t>
            </w:r>
          </w:p>
        </w:tc>
      </w:tr>
      <w:tr w:rsidR="00C0698F" w14:paraId="41564FC6" w14:textId="77777777" w:rsidTr="00C0698F">
        <w:tc>
          <w:tcPr>
            <w:tcW w:w="2517" w:type="dxa"/>
          </w:tcPr>
          <w:p w14:paraId="7AFC3A01" w14:textId="54926D58" w:rsidR="00C0698F" w:rsidRDefault="00C0698F" w:rsidP="00AA1BC0">
            <w:pPr>
              <w:rPr>
                <w:rFonts w:cs="Arial"/>
              </w:rPr>
            </w:pPr>
            <w:r>
              <w:rPr>
                <w:rFonts w:cs="Arial"/>
              </w:rPr>
              <w:t>Dr. Christopher Wright</w:t>
            </w:r>
          </w:p>
        </w:tc>
        <w:tc>
          <w:tcPr>
            <w:tcW w:w="1978" w:type="dxa"/>
          </w:tcPr>
          <w:p w14:paraId="394A3B44" w14:textId="7DFEE342" w:rsidR="00C0698F" w:rsidRPr="006D34C6" w:rsidRDefault="00644B89" w:rsidP="00AA1BC0">
            <w:pPr>
              <w:rPr>
                <w:rFonts w:cs="Arial"/>
              </w:rPr>
            </w:pPr>
            <w:r>
              <w:rPr>
                <w:rFonts w:cs="Arial"/>
              </w:rPr>
              <w:t>Research associate</w:t>
            </w:r>
          </w:p>
        </w:tc>
        <w:tc>
          <w:tcPr>
            <w:tcW w:w="3420" w:type="dxa"/>
          </w:tcPr>
          <w:p w14:paraId="6FD05FC4" w14:textId="537C6E8D" w:rsidR="00C0698F" w:rsidRDefault="00644B89" w:rsidP="00AA1BC0">
            <w:pPr>
              <w:rPr>
                <w:rFonts w:cs="Arial"/>
              </w:rPr>
            </w:pPr>
            <w:r>
              <w:rPr>
                <w:rFonts w:cs="Arial"/>
              </w:rPr>
              <w:t>UMN, NRRI</w:t>
            </w:r>
          </w:p>
        </w:tc>
        <w:tc>
          <w:tcPr>
            <w:tcW w:w="2155" w:type="dxa"/>
          </w:tcPr>
          <w:p w14:paraId="27F6C7A8" w14:textId="296D9D33" w:rsidR="00C0698F" w:rsidRDefault="00644B89" w:rsidP="00AA1BC0">
            <w:pPr>
              <w:rPr>
                <w:rFonts w:cs="Arial"/>
              </w:rPr>
            </w:pPr>
            <w:r>
              <w:rPr>
                <w:rFonts w:cs="Arial"/>
              </w:rPr>
              <w:t>Coordinator</w:t>
            </w:r>
          </w:p>
        </w:tc>
      </w:tr>
    </w:tbl>
    <w:p w14:paraId="6AF076CE" w14:textId="77777777" w:rsidR="00437810" w:rsidRPr="00AA1BC0" w:rsidRDefault="00437810" w:rsidP="00437810">
      <w:pPr>
        <w:rPr>
          <w:rFonts w:cs="Arial"/>
          <w:b/>
          <w:sz w:val="4"/>
          <w:szCs w:val="4"/>
        </w:rPr>
      </w:pPr>
    </w:p>
    <w:p w14:paraId="260AB147" w14:textId="1F474748" w:rsidR="00437810" w:rsidRDefault="00C0698F" w:rsidP="00437810">
      <w:pPr>
        <w:rPr>
          <w:rFonts w:cs="Arial"/>
          <w:b/>
        </w:rPr>
      </w:pPr>
      <w:r>
        <w:rPr>
          <w:rFonts w:cs="Arial"/>
          <w:b/>
          <w:bCs/>
          <w:color w:val="000000"/>
        </w:rPr>
        <w:t>B</w:t>
      </w:r>
      <w:r w:rsidR="00437810" w:rsidRPr="00785360">
        <w:rPr>
          <w:rFonts w:cs="Arial"/>
          <w:b/>
          <w:bCs/>
          <w:color w:val="000000"/>
        </w:rPr>
        <w:t xml:space="preserve">. Partners </w:t>
      </w:r>
      <w:r w:rsidR="00437810">
        <w:rPr>
          <w:rFonts w:cs="Arial"/>
          <w:b/>
          <w:bCs/>
          <w:color w:val="000000"/>
        </w:rPr>
        <w:t xml:space="preserve">not </w:t>
      </w:r>
      <w:r w:rsidR="00437810" w:rsidRPr="00785360">
        <w:rPr>
          <w:rFonts w:cs="Arial"/>
          <w:b/>
          <w:bCs/>
          <w:color w:val="000000"/>
        </w:rPr>
        <w:t>receiving ENRTF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698"/>
        <w:gridCol w:w="2337"/>
        <w:gridCol w:w="2518"/>
      </w:tblGrid>
      <w:tr w:rsidR="00437810" w14:paraId="28E96DFD" w14:textId="77777777" w:rsidTr="00E82906">
        <w:tc>
          <w:tcPr>
            <w:tcW w:w="2517" w:type="dxa"/>
          </w:tcPr>
          <w:p w14:paraId="033FAEC3" w14:textId="77777777" w:rsidR="00437810" w:rsidRDefault="00437810" w:rsidP="00AA1BC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2698" w:type="dxa"/>
          </w:tcPr>
          <w:p w14:paraId="3D202AA2" w14:textId="77777777" w:rsidR="00437810" w:rsidRDefault="00437810" w:rsidP="00AA1BC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</w:t>
            </w:r>
          </w:p>
        </w:tc>
        <w:tc>
          <w:tcPr>
            <w:tcW w:w="2337" w:type="dxa"/>
          </w:tcPr>
          <w:p w14:paraId="161060BF" w14:textId="77777777" w:rsidR="00437810" w:rsidRDefault="00437810" w:rsidP="00AA1BC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Affiliation</w:t>
            </w:r>
          </w:p>
        </w:tc>
        <w:tc>
          <w:tcPr>
            <w:tcW w:w="2518" w:type="dxa"/>
          </w:tcPr>
          <w:p w14:paraId="0D5C4C57" w14:textId="77777777" w:rsidR="00437810" w:rsidRDefault="00437810" w:rsidP="00AA1BC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Role</w:t>
            </w:r>
          </w:p>
        </w:tc>
      </w:tr>
      <w:tr w:rsidR="00802351" w:rsidRPr="006D34C6" w14:paraId="6387C47E" w14:textId="77777777" w:rsidTr="00E82906">
        <w:tc>
          <w:tcPr>
            <w:tcW w:w="2517" w:type="dxa"/>
          </w:tcPr>
          <w:p w14:paraId="1E2D4839" w14:textId="34EF5C40" w:rsidR="00802351" w:rsidRPr="006D34C6" w:rsidRDefault="00802351" w:rsidP="00802351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Dr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eastAsia="zh-CN"/>
              </w:rPr>
              <w:t xml:space="preserve"> W</w:t>
            </w:r>
            <w:r w:rsidRPr="00C0698F">
              <w:rPr>
                <w:rFonts w:cs="Arial"/>
                <w:lang w:eastAsia="zh-CN"/>
              </w:rPr>
              <w:t>esley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I</w:t>
            </w:r>
            <w:r w:rsidRPr="00C0698F">
              <w:rPr>
                <w:rFonts w:cs="Arial"/>
                <w:lang w:eastAsia="zh-CN"/>
              </w:rPr>
              <w:t>ngwersen</w:t>
            </w:r>
            <w:proofErr w:type="spellEnd"/>
          </w:p>
        </w:tc>
        <w:tc>
          <w:tcPr>
            <w:tcW w:w="2698" w:type="dxa"/>
          </w:tcPr>
          <w:p w14:paraId="4A3866DB" w14:textId="24344897" w:rsidR="00802351" w:rsidRPr="006D34C6" w:rsidRDefault="00802351" w:rsidP="00802351">
            <w:pPr>
              <w:rPr>
                <w:rFonts w:cs="Arial"/>
              </w:rPr>
            </w:pPr>
            <w:r>
              <w:rPr>
                <w:rFonts w:cs="Arial"/>
              </w:rPr>
              <w:t>Environmental engineer</w:t>
            </w:r>
          </w:p>
        </w:tc>
        <w:tc>
          <w:tcPr>
            <w:tcW w:w="2337" w:type="dxa"/>
          </w:tcPr>
          <w:p w14:paraId="70CEC994" w14:textId="04D19284" w:rsidR="00802351" w:rsidRPr="006D34C6" w:rsidRDefault="00802351" w:rsidP="00802351">
            <w:pPr>
              <w:rPr>
                <w:rFonts w:cs="Arial"/>
              </w:rPr>
            </w:pPr>
            <w:r>
              <w:rPr>
                <w:rFonts w:cs="Arial"/>
              </w:rPr>
              <w:t>USEPA</w:t>
            </w:r>
          </w:p>
        </w:tc>
        <w:tc>
          <w:tcPr>
            <w:tcW w:w="2518" w:type="dxa"/>
          </w:tcPr>
          <w:p w14:paraId="481833CB" w14:textId="76EE7444" w:rsidR="00802351" w:rsidRPr="006D34C6" w:rsidRDefault="00802351" w:rsidP="00802351">
            <w:pPr>
              <w:rPr>
                <w:rFonts w:cs="Arial"/>
              </w:rPr>
            </w:pPr>
            <w:r>
              <w:rPr>
                <w:rFonts w:cs="Arial"/>
              </w:rPr>
              <w:t>Supporter/collaborator</w:t>
            </w:r>
          </w:p>
        </w:tc>
      </w:tr>
      <w:tr w:rsidR="00802351" w:rsidRPr="006D34C6" w14:paraId="6E711956" w14:textId="77777777" w:rsidTr="00E82906">
        <w:tc>
          <w:tcPr>
            <w:tcW w:w="2517" w:type="dxa"/>
          </w:tcPr>
          <w:p w14:paraId="493182D9" w14:textId="655B733F" w:rsidR="00802351" w:rsidRPr="00C0698F" w:rsidRDefault="00802351" w:rsidP="00802351">
            <w:pPr>
              <w:rPr>
                <w:rFonts w:cs="Arial"/>
                <w:lang w:eastAsia="zh-CN"/>
              </w:rPr>
            </w:pPr>
            <w:r w:rsidRPr="00C0698F">
              <w:rPr>
                <w:rFonts w:cs="Arial"/>
                <w:lang w:eastAsia="zh-CN"/>
              </w:rPr>
              <w:t>Colleen Hetzel</w:t>
            </w:r>
          </w:p>
        </w:tc>
        <w:tc>
          <w:tcPr>
            <w:tcW w:w="2698" w:type="dxa"/>
          </w:tcPr>
          <w:p w14:paraId="0B7587D1" w14:textId="00611301" w:rsidR="00802351" w:rsidRDefault="00802351" w:rsidP="00802351">
            <w:pPr>
              <w:rPr>
                <w:rFonts w:cs="Arial"/>
              </w:rPr>
            </w:pPr>
            <w:r>
              <w:rPr>
                <w:rFonts w:cs="Arial"/>
              </w:rPr>
              <w:t>Planner Principal</w:t>
            </w:r>
          </w:p>
        </w:tc>
        <w:tc>
          <w:tcPr>
            <w:tcW w:w="2337" w:type="dxa"/>
          </w:tcPr>
          <w:p w14:paraId="36E80D41" w14:textId="2722BC0C" w:rsidR="00802351" w:rsidRDefault="00802351" w:rsidP="00802351">
            <w:pPr>
              <w:rPr>
                <w:rFonts w:cs="Arial"/>
              </w:rPr>
            </w:pPr>
            <w:r>
              <w:rPr>
                <w:rFonts w:cs="Arial"/>
              </w:rPr>
              <w:t>MPCA</w:t>
            </w:r>
          </w:p>
        </w:tc>
        <w:tc>
          <w:tcPr>
            <w:tcW w:w="2518" w:type="dxa"/>
          </w:tcPr>
          <w:p w14:paraId="7F515685" w14:textId="7A94D20D" w:rsidR="00802351" w:rsidRDefault="00802351" w:rsidP="00802351">
            <w:pPr>
              <w:rPr>
                <w:rFonts w:cs="Arial"/>
              </w:rPr>
            </w:pPr>
            <w:r>
              <w:rPr>
                <w:rFonts w:cs="Arial"/>
              </w:rPr>
              <w:t>Supporter/collaborator</w:t>
            </w:r>
          </w:p>
        </w:tc>
      </w:tr>
      <w:tr w:rsidR="00802351" w:rsidRPr="006D34C6" w14:paraId="46E11FEC" w14:textId="77777777" w:rsidTr="00E82906">
        <w:tc>
          <w:tcPr>
            <w:tcW w:w="2517" w:type="dxa"/>
          </w:tcPr>
          <w:p w14:paraId="75055527" w14:textId="3D82FD26" w:rsidR="00802351" w:rsidRPr="00C0698F" w:rsidRDefault="00802351" w:rsidP="00802351">
            <w:pPr>
              <w:rPr>
                <w:rFonts w:cs="Arial"/>
                <w:lang w:eastAsia="zh-CN"/>
              </w:rPr>
            </w:pPr>
            <w:r w:rsidRPr="00E82906">
              <w:rPr>
                <w:rFonts w:cs="Arial"/>
                <w:lang w:eastAsia="zh-CN"/>
              </w:rPr>
              <w:t xml:space="preserve">Madalyn </w:t>
            </w:r>
            <w:proofErr w:type="spellStart"/>
            <w:r w:rsidRPr="00E82906">
              <w:rPr>
                <w:rFonts w:cs="Arial"/>
                <w:lang w:eastAsia="zh-CN"/>
              </w:rPr>
              <w:t>Cioci</w:t>
            </w:r>
            <w:proofErr w:type="spellEnd"/>
          </w:p>
        </w:tc>
        <w:tc>
          <w:tcPr>
            <w:tcW w:w="2698" w:type="dxa"/>
          </w:tcPr>
          <w:p w14:paraId="68A0A30A" w14:textId="3515A1CA" w:rsidR="00802351" w:rsidRDefault="00802351" w:rsidP="00802351">
            <w:pPr>
              <w:rPr>
                <w:rFonts w:cs="Arial"/>
              </w:rPr>
            </w:pPr>
            <w:r>
              <w:rPr>
                <w:rFonts w:cs="Arial"/>
              </w:rPr>
              <w:t>Water prevention specialist</w:t>
            </w:r>
          </w:p>
        </w:tc>
        <w:tc>
          <w:tcPr>
            <w:tcW w:w="2337" w:type="dxa"/>
          </w:tcPr>
          <w:p w14:paraId="759BA9CB" w14:textId="61293A8D" w:rsidR="00802351" w:rsidRDefault="00802351" w:rsidP="00802351">
            <w:pPr>
              <w:rPr>
                <w:rFonts w:cs="Arial"/>
              </w:rPr>
            </w:pPr>
            <w:r>
              <w:rPr>
                <w:rFonts w:cs="Arial"/>
              </w:rPr>
              <w:t>MPCA</w:t>
            </w:r>
          </w:p>
        </w:tc>
        <w:tc>
          <w:tcPr>
            <w:tcW w:w="2518" w:type="dxa"/>
          </w:tcPr>
          <w:p w14:paraId="6FCDD7EA" w14:textId="1F1F02E3" w:rsidR="00802351" w:rsidRDefault="00802351" w:rsidP="00802351">
            <w:pPr>
              <w:rPr>
                <w:rFonts w:cs="Arial"/>
              </w:rPr>
            </w:pPr>
            <w:r>
              <w:rPr>
                <w:rFonts w:cs="Arial"/>
              </w:rPr>
              <w:t>Supporter/collaborator</w:t>
            </w:r>
          </w:p>
        </w:tc>
      </w:tr>
    </w:tbl>
    <w:p w14:paraId="5053D8C4" w14:textId="692F140C" w:rsidR="00437810" w:rsidRPr="00F87F2E" w:rsidRDefault="00437810" w:rsidP="000A01C4">
      <w:pPr>
        <w:rPr>
          <w:rFonts w:cs="Arial"/>
        </w:rPr>
      </w:pPr>
      <w:r>
        <w:rPr>
          <w:rFonts w:cs="Arial"/>
        </w:rPr>
        <w:t xml:space="preserve">Our colleagues at the US EPA will provide </w:t>
      </w:r>
      <w:r w:rsidR="00350C7C">
        <w:rPr>
          <w:rFonts w:cs="Arial"/>
        </w:rPr>
        <w:t xml:space="preserve">data </w:t>
      </w:r>
      <w:r w:rsidR="000A01C4">
        <w:rPr>
          <w:rFonts w:cs="Arial"/>
        </w:rPr>
        <w:t>and technical support</w:t>
      </w:r>
      <w:r w:rsidR="00350C7C">
        <w:rPr>
          <w:rFonts w:cs="Arial"/>
        </w:rPr>
        <w:t>,</w:t>
      </w:r>
      <w:r w:rsidR="000A01C4">
        <w:rPr>
          <w:rFonts w:cs="Arial"/>
        </w:rPr>
        <w:t xml:space="preserve"> especially with respect to religionizing the national USEEIO model to the State. O</w:t>
      </w:r>
      <w:r w:rsidR="00350C7C">
        <w:rPr>
          <w:rFonts w:cs="Arial"/>
        </w:rPr>
        <w:t>ur</w:t>
      </w:r>
      <w:r>
        <w:rPr>
          <w:rFonts w:cs="Arial"/>
          <w:lang w:eastAsia="zh-CN"/>
        </w:rPr>
        <w:t xml:space="preserve"> colleagues </w:t>
      </w:r>
      <w:r>
        <w:rPr>
          <w:rFonts w:cs="Arial" w:hint="eastAsia"/>
          <w:lang w:eastAsia="zh-CN"/>
        </w:rPr>
        <w:t>a</w:t>
      </w:r>
      <w:r>
        <w:rPr>
          <w:rFonts w:cs="Arial"/>
        </w:rPr>
        <w:t xml:space="preserve">t Minnesota Pollution Control Agency (MPCA) will provide data support and feedback on potential applications of the model at the agency. </w:t>
      </w:r>
    </w:p>
    <w:p w14:paraId="3BAFAEA5" w14:textId="77777777" w:rsidR="00437810" w:rsidRPr="00AA1BC0" w:rsidRDefault="00437810" w:rsidP="00437810">
      <w:pPr>
        <w:rPr>
          <w:rFonts w:cs="Arial"/>
          <w:b/>
          <w:sz w:val="4"/>
          <w:szCs w:val="4"/>
        </w:rPr>
      </w:pPr>
    </w:p>
    <w:p w14:paraId="0D59EDD2" w14:textId="77777777" w:rsidR="00C0698F" w:rsidRDefault="00C0698F" w:rsidP="00437810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5DCBC8CE" w14:textId="567CD08F" w:rsidR="00437810" w:rsidRPr="00AF4ECD" w:rsidRDefault="00437810" w:rsidP="00437810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LONG-TERM IMPLEMENTATION AND FUNDING:</w:t>
      </w:r>
    </w:p>
    <w:p w14:paraId="26DB14DE" w14:textId="37FF865F" w:rsidR="00755C78" w:rsidRDefault="00437810" w:rsidP="00D01ADD">
      <w:pPr>
        <w:autoSpaceDE w:val="0"/>
        <w:autoSpaceDN w:val="0"/>
        <w:adjustRightInd w:val="0"/>
        <w:rPr>
          <w:rFonts w:cs="Arial"/>
          <w:color w:val="000000" w:themeColor="text1"/>
        </w:rPr>
      </w:pPr>
      <w:bookmarkStart w:id="0" w:name="_GoBack"/>
      <w:bookmarkEnd w:id="0"/>
      <w:r w:rsidRPr="00FF011B">
        <w:rPr>
          <w:rFonts w:cs="Arial"/>
          <w:color w:val="000000" w:themeColor="text1"/>
        </w:rPr>
        <w:t>Th</w:t>
      </w:r>
      <w:r w:rsidR="00350C7C">
        <w:rPr>
          <w:rFonts w:cs="Arial"/>
          <w:color w:val="000000" w:themeColor="text1"/>
        </w:rPr>
        <w:t>e MN-</w:t>
      </w:r>
      <w:r w:rsidR="008C5165">
        <w:rPr>
          <w:rFonts w:cs="Arial"/>
          <w:color w:val="000000" w:themeColor="text1"/>
        </w:rPr>
        <w:t>US</w:t>
      </w:r>
      <w:r w:rsidR="00E70210">
        <w:rPr>
          <w:rFonts w:cs="Arial"/>
          <w:color w:val="000000" w:themeColor="text1"/>
        </w:rPr>
        <w:t xml:space="preserve"> </w:t>
      </w:r>
      <w:r w:rsidR="00350C7C">
        <w:rPr>
          <w:rFonts w:cs="Arial"/>
          <w:color w:val="000000" w:themeColor="text1"/>
        </w:rPr>
        <w:t xml:space="preserve">EEIO model proposed </w:t>
      </w:r>
      <w:r w:rsidRPr="00FF011B">
        <w:rPr>
          <w:rFonts w:cs="Arial"/>
          <w:color w:val="000000" w:themeColor="text1"/>
        </w:rPr>
        <w:t xml:space="preserve">is the first of its kind </w:t>
      </w:r>
      <w:r w:rsidR="00350C7C">
        <w:rPr>
          <w:rFonts w:cs="Arial"/>
          <w:color w:val="000000" w:themeColor="text1"/>
        </w:rPr>
        <w:t>in Minnesota. It</w:t>
      </w:r>
      <w:r w:rsidRPr="00FF011B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will be of immediate value</w:t>
      </w:r>
      <w:r w:rsidRPr="00FF011B">
        <w:rPr>
          <w:rFonts w:cs="Arial"/>
          <w:color w:val="000000" w:themeColor="text1"/>
        </w:rPr>
        <w:t xml:space="preserve"> to</w:t>
      </w:r>
      <w:r>
        <w:rPr>
          <w:rFonts w:cs="Arial"/>
          <w:color w:val="000000" w:themeColor="text1"/>
        </w:rPr>
        <w:t xml:space="preserve"> state</w:t>
      </w:r>
      <w:r w:rsidRPr="00FF011B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environmental policy making, such as MPCA, corporate sustainability management</w:t>
      </w:r>
      <w:r w:rsidR="00350C7C">
        <w:rPr>
          <w:rFonts w:cs="Arial"/>
          <w:color w:val="000000" w:themeColor="text1"/>
        </w:rPr>
        <w:t xml:space="preserve">, and </w:t>
      </w:r>
      <w:r w:rsidR="00802351">
        <w:rPr>
          <w:rFonts w:cs="Arial"/>
          <w:color w:val="000000" w:themeColor="text1"/>
        </w:rPr>
        <w:t>research</w:t>
      </w:r>
      <w:r w:rsidR="00350C7C">
        <w:rPr>
          <w:rFonts w:cs="Arial"/>
          <w:color w:val="000000" w:themeColor="text1"/>
        </w:rPr>
        <w:t xml:space="preserve"> institutes. </w:t>
      </w:r>
      <w:r>
        <w:rPr>
          <w:rFonts w:cs="Arial"/>
          <w:color w:val="000000" w:themeColor="text1"/>
        </w:rPr>
        <w:t>We expect this to be a long-term project.</w:t>
      </w:r>
      <w:r w:rsidR="00425406">
        <w:rPr>
          <w:rFonts w:cs="Arial"/>
          <w:color w:val="000000" w:themeColor="text1"/>
        </w:rPr>
        <w:t xml:space="preserve"> We will work with EPA to assure </w:t>
      </w:r>
      <w:r w:rsidR="00C0698F">
        <w:rPr>
          <w:rFonts w:cs="Arial"/>
          <w:color w:val="000000" w:themeColor="text1"/>
        </w:rPr>
        <w:t>compatibility</w:t>
      </w:r>
      <w:r w:rsidR="00425406">
        <w:rPr>
          <w:rFonts w:cs="Arial"/>
          <w:color w:val="000000" w:themeColor="text1"/>
        </w:rPr>
        <w:t xml:space="preserve"> with future state EEIO version, so the EPA state models are advanced, the MN-specific enhancements will remain </w:t>
      </w:r>
      <w:r w:rsidR="00C0698F">
        <w:rPr>
          <w:rFonts w:cs="Arial"/>
          <w:color w:val="000000" w:themeColor="text1"/>
        </w:rPr>
        <w:t>compatible</w:t>
      </w:r>
      <w:r w:rsidR="00425406">
        <w:rPr>
          <w:rFonts w:cs="Arial"/>
          <w:color w:val="000000" w:themeColor="text1"/>
        </w:rPr>
        <w:t>, and we will document how data updates can be seamlessly integrated</w:t>
      </w:r>
      <w:r>
        <w:rPr>
          <w:rFonts w:cs="Arial"/>
          <w:color w:val="000000" w:themeColor="text1"/>
        </w:rPr>
        <w:t>. Future cost is expected to be much less, and may be financed by stakeholders interested in continuous use of the model.</w:t>
      </w:r>
    </w:p>
    <w:p w14:paraId="424FF458" w14:textId="105DB2D5" w:rsidR="00A81966" w:rsidRDefault="00A81966" w:rsidP="00D01ADD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75A24734" w14:textId="512EA241" w:rsidR="00A81966" w:rsidRPr="00A81966" w:rsidRDefault="00A81966" w:rsidP="00D01ADD">
      <w:pPr>
        <w:autoSpaceDE w:val="0"/>
        <w:autoSpaceDN w:val="0"/>
        <w:adjustRightInd w:val="0"/>
        <w:rPr>
          <w:rFonts w:cs="Arial"/>
          <w:color w:val="000000" w:themeColor="text1"/>
          <w:sz w:val="16"/>
        </w:rPr>
      </w:pPr>
      <w:r w:rsidRPr="00A81966">
        <w:rPr>
          <w:rFonts w:cs="Arial"/>
          <w:color w:val="000000" w:themeColor="text1"/>
          <w:sz w:val="16"/>
        </w:rPr>
        <w:t xml:space="preserve">Yang, Y., </w:t>
      </w:r>
      <w:proofErr w:type="spellStart"/>
      <w:r w:rsidRPr="00A81966">
        <w:rPr>
          <w:rFonts w:cs="Arial"/>
          <w:color w:val="000000" w:themeColor="text1"/>
          <w:sz w:val="16"/>
        </w:rPr>
        <w:t>Ingwersen</w:t>
      </w:r>
      <w:proofErr w:type="spellEnd"/>
      <w:r w:rsidRPr="00A81966">
        <w:rPr>
          <w:rFonts w:cs="Arial"/>
          <w:color w:val="000000" w:themeColor="text1"/>
          <w:sz w:val="16"/>
        </w:rPr>
        <w:t xml:space="preserve">, W. W., Hawkins, T. R., </w:t>
      </w:r>
      <w:proofErr w:type="spellStart"/>
      <w:r w:rsidRPr="00A81966">
        <w:rPr>
          <w:rFonts w:cs="Arial"/>
          <w:color w:val="000000" w:themeColor="text1"/>
          <w:sz w:val="16"/>
        </w:rPr>
        <w:t>Srocka</w:t>
      </w:r>
      <w:proofErr w:type="spellEnd"/>
      <w:r w:rsidRPr="00A81966">
        <w:rPr>
          <w:rFonts w:cs="Arial"/>
          <w:color w:val="000000" w:themeColor="text1"/>
          <w:sz w:val="16"/>
        </w:rPr>
        <w:t>, M., &amp; Meyer, D. E. (2017). USEEIO: A new and transparent United States environmentally-extended input-output model. Journal of cleaner production, 158, 308-318.</w:t>
      </w:r>
    </w:p>
    <w:p w14:paraId="7A3B343F" w14:textId="5E93D64B" w:rsidR="00A81966" w:rsidRPr="00A81966" w:rsidRDefault="00A81966" w:rsidP="00D01ADD">
      <w:pPr>
        <w:autoSpaceDE w:val="0"/>
        <w:autoSpaceDN w:val="0"/>
        <w:adjustRightInd w:val="0"/>
        <w:rPr>
          <w:rFonts w:cs="Arial"/>
          <w:color w:val="000000" w:themeColor="text1"/>
          <w:sz w:val="16"/>
        </w:rPr>
      </w:pPr>
      <w:r w:rsidRPr="00A81966">
        <w:rPr>
          <w:rFonts w:cs="Arial"/>
          <w:color w:val="000000" w:themeColor="text1"/>
          <w:sz w:val="16"/>
        </w:rPr>
        <w:t xml:space="preserve">Smith, T. M., </w:t>
      </w:r>
      <w:proofErr w:type="spellStart"/>
      <w:r w:rsidRPr="00A81966">
        <w:rPr>
          <w:rFonts w:cs="Arial"/>
          <w:color w:val="000000" w:themeColor="text1"/>
          <w:sz w:val="16"/>
        </w:rPr>
        <w:t>Goodkind</w:t>
      </w:r>
      <w:proofErr w:type="spellEnd"/>
      <w:r w:rsidRPr="00A81966">
        <w:rPr>
          <w:rFonts w:cs="Arial"/>
          <w:color w:val="000000" w:themeColor="text1"/>
          <w:sz w:val="16"/>
        </w:rPr>
        <w:t>, A. L., Kim, T., Pelton, R. E., Suh, K., &amp; Schmitt, J. (2017). Subnational mobility and consumption-based environmental accounting of US corn in animal protein and ethanol supply chains. Proceedings of the National Academy of Sciences, 114(38), E7891-E7899.</w:t>
      </w:r>
    </w:p>
    <w:sectPr w:rsidR="00A81966" w:rsidRPr="00A81966" w:rsidSect="00E4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18FBC" w14:textId="77777777" w:rsidR="004A0521" w:rsidRDefault="004A0521" w:rsidP="00533120">
      <w:r>
        <w:separator/>
      </w:r>
    </w:p>
  </w:endnote>
  <w:endnote w:type="continuationSeparator" w:id="0">
    <w:p w14:paraId="32CFE0DE" w14:textId="77777777" w:rsidR="004A0521" w:rsidRDefault="004A0521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1DC50" w14:textId="77777777"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6BBD8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2DC3">
      <w:rPr>
        <w:noProof/>
      </w:rPr>
      <w:t>2</w:t>
    </w:r>
    <w:r>
      <w:fldChar w:fldCharType="end"/>
    </w:r>
  </w:p>
  <w:p w14:paraId="1F811849" w14:textId="77777777"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BAED1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8CE8847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8FE54" w14:textId="77777777" w:rsidR="004A0521" w:rsidRDefault="004A0521" w:rsidP="00533120">
      <w:r>
        <w:separator/>
      </w:r>
    </w:p>
  </w:footnote>
  <w:footnote w:type="continuationSeparator" w:id="0">
    <w:p w14:paraId="54363CD2" w14:textId="77777777" w:rsidR="004A0521" w:rsidRDefault="004A0521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F194" w14:textId="77777777"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3DA03BC6" w14:textId="77777777" w:rsidTr="00E47145">
      <w:tc>
        <w:tcPr>
          <w:tcW w:w="1278" w:type="dxa"/>
        </w:tcPr>
        <w:p w14:paraId="0CBD4C6B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0A1B68B" wp14:editId="76E4B794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55296981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0C16264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05E858B8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4721E5DC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47DD8BE0" w14:textId="77777777" w:rsidTr="00C660F0">
      <w:tc>
        <w:tcPr>
          <w:tcW w:w="1098" w:type="dxa"/>
        </w:tcPr>
        <w:p w14:paraId="6D0CCDD2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F6394BD" wp14:editId="6A4DE6C2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1F40E787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7FEF1CC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2A8EEB17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194BE4E6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47F0"/>
    <w:multiLevelType w:val="hybridMultilevel"/>
    <w:tmpl w:val="012A1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2F2C6930"/>
    <w:multiLevelType w:val="multilevel"/>
    <w:tmpl w:val="42AA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3" w15:restartNumberingAfterBreak="0">
    <w:nsid w:val="6EA15C88"/>
    <w:multiLevelType w:val="multilevel"/>
    <w:tmpl w:val="49DE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BC519B"/>
    <w:multiLevelType w:val="multilevel"/>
    <w:tmpl w:val="DEE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2"/>
  </w:num>
  <w:num w:numId="7">
    <w:abstractNumId w:val="8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4"/>
  </w:num>
  <w:num w:numId="13">
    <w:abstractNumId w:val="14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070B9"/>
    <w:rsid w:val="00020FA1"/>
    <w:rsid w:val="000420E5"/>
    <w:rsid w:val="00057F60"/>
    <w:rsid w:val="00061D70"/>
    <w:rsid w:val="00061EF5"/>
    <w:rsid w:val="00062497"/>
    <w:rsid w:val="00065366"/>
    <w:rsid w:val="00073C85"/>
    <w:rsid w:val="00073C96"/>
    <w:rsid w:val="000818E3"/>
    <w:rsid w:val="00082720"/>
    <w:rsid w:val="0008324D"/>
    <w:rsid w:val="000A01C4"/>
    <w:rsid w:val="000A2DC3"/>
    <w:rsid w:val="000B34BA"/>
    <w:rsid w:val="000B4469"/>
    <w:rsid w:val="000C393C"/>
    <w:rsid w:val="000C3EF3"/>
    <w:rsid w:val="000D700D"/>
    <w:rsid w:val="000D7F31"/>
    <w:rsid w:val="000E528C"/>
    <w:rsid w:val="000E55EE"/>
    <w:rsid w:val="000E7BC2"/>
    <w:rsid w:val="00100A34"/>
    <w:rsid w:val="00107495"/>
    <w:rsid w:val="0011730C"/>
    <w:rsid w:val="00117AE0"/>
    <w:rsid w:val="001225BC"/>
    <w:rsid w:val="00131CCD"/>
    <w:rsid w:val="00133A9E"/>
    <w:rsid w:val="00162B77"/>
    <w:rsid w:val="00165716"/>
    <w:rsid w:val="0018005E"/>
    <w:rsid w:val="00186FCC"/>
    <w:rsid w:val="0018799E"/>
    <w:rsid w:val="00192AFB"/>
    <w:rsid w:val="0019559E"/>
    <w:rsid w:val="001B0368"/>
    <w:rsid w:val="001E42AC"/>
    <w:rsid w:val="00206E6F"/>
    <w:rsid w:val="002159DD"/>
    <w:rsid w:val="00216B5B"/>
    <w:rsid w:val="00217C2A"/>
    <w:rsid w:val="00225BF1"/>
    <w:rsid w:val="00236E91"/>
    <w:rsid w:val="00240EEC"/>
    <w:rsid w:val="00241AE0"/>
    <w:rsid w:val="00244072"/>
    <w:rsid w:val="0026080C"/>
    <w:rsid w:val="00290E4E"/>
    <w:rsid w:val="0029726A"/>
    <w:rsid w:val="002B469A"/>
    <w:rsid w:val="002C5C37"/>
    <w:rsid w:val="002C7A91"/>
    <w:rsid w:val="002E12A3"/>
    <w:rsid w:val="002F0E20"/>
    <w:rsid w:val="002F63D5"/>
    <w:rsid w:val="003009A6"/>
    <w:rsid w:val="00303606"/>
    <w:rsid w:val="00303BFB"/>
    <w:rsid w:val="00316541"/>
    <w:rsid w:val="003205A7"/>
    <w:rsid w:val="003239FE"/>
    <w:rsid w:val="00330DED"/>
    <w:rsid w:val="00337A46"/>
    <w:rsid w:val="00347B24"/>
    <w:rsid w:val="00347E7A"/>
    <w:rsid w:val="00350C7C"/>
    <w:rsid w:val="00351EA6"/>
    <w:rsid w:val="00354888"/>
    <w:rsid w:val="003578A0"/>
    <w:rsid w:val="00364E76"/>
    <w:rsid w:val="00371A14"/>
    <w:rsid w:val="0037310D"/>
    <w:rsid w:val="003809F4"/>
    <w:rsid w:val="0039481E"/>
    <w:rsid w:val="00396E42"/>
    <w:rsid w:val="003A0720"/>
    <w:rsid w:val="003A4857"/>
    <w:rsid w:val="003A517B"/>
    <w:rsid w:val="003B362F"/>
    <w:rsid w:val="003C02D9"/>
    <w:rsid w:val="003C4BB8"/>
    <w:rsid w:val="003D1894"/>
    <w:rsid w:val="003D73DC"/>
    <w:rsid w:val="003E2C27"/>
    <w:rsid w:val="003E4D36"/>
    <w:rsid w:val="003E4F5A"/>
    <w:rsid w:val="003F230F"/>
    <w:rsid w:val="003F32CA"/>
    <w:rsid w:val="00400255"/>
    <w:rsid w:val="00404B9C"/>
    <w:rsid w:val="00425406"/>
    <w:rsid w:val="00427355"/>
    <w:rsid w:val="004357AE"/>
    <w:rsid w:val="00437549"/>
    <w:rsid w:val="00437810"/>
    <w:rsid w:val="004426B6"/>
    <w:rsid w:val="004530F7"/>
    <w:rsid w:val="00454495"/>
    <w:rsid w:val="00454905"/>
    <w:rsid w:val="00455393"/>
    <w:rsid w:val="004558E5"/>
    <w:rsid w:val="00457F9B"/>
    <w:rsid w:val="004676D8"/>
    <w:rsid w:val="004763BD"/>
    <w:rsid w:val="00477371"/>
    <w:rsid w:val="004826A2"/>
    <w:rsid w:val="00487D08"/>
    <w:rsid w:val="0049103C"/>
    <w:rsid w:val="00494795"/>
    <w:rsid w:val="004A0521"/>
    <w:rsid w:val="004A43B9"/>
    <w:rsid w:val="004A4BE4"/>
    <w:rsid w:val="004C6254"/>
    <w:rsid w:val="004E6113"/>
    <w:rsid w:val="004F0C12"/>
    <w:rsid w:val="004F0D4C"/>
    <w:rsid w:val="004F14F5"/>
    <w:rsid w:val="00505EF3"/>
    <w:rsid w:val="0051421C"/>
    <w:rsid w:val="005240F2"/>
    <w:rsid w:val="005249B1"/>
    <w:rsid w:val="00525B57"/>
    <w:rsid w:val="0052696C"/>
    <w:rsid w:val="00526EA3"/>
    <w:rsid w:val="005277FF"/>
    <w:rsid w:val="00533120"/>
    <w:rsid w:val="005341A5"/>
    <w:rsid w:val="005431D4"/>
    <w:rsid w:val="005452E9"/>
    <w:rsid w:val="00550B29"/>
    <w:rsid w:val="00563056"/>
    <w:rsid w:val="005648A9"/>
    <w:rsid w:val="0057691E"/>
    <w:rsid w:val="005A1D00"/>
    <w:rsid w:val="005A4FB1"/>
    <w:rsid w:val="005B2C00"/>
    <w:rsid w:val="005B35A8"/>
    <w:rsid w:val="005B5356"/>
    <w:rsid w:val="005B7A6E"/>
    <w:rsid w:val="005C0392"/>
    <w:rsid w:val="005C1A64"/>
    <w:rsid w:val="005C6BB2"/>
    <w:rsid w:val="005E4573"/>
    <w:rsid w:val="005E7DF5"/>
    <w:rsid w:val="005F0DBA"/>
    <w:rsid w:val="005F1006"/>
    <w:rsid w:val="005F367C"/>
    <w:rsid w:val="005F7237"/>
    <w:rsid w:val="00602068"/>
    <w:rsid w:val="00614DF2"/>
    <w:rsid w:val="00616FDD"/>
    <w:rsid w:val="006204E7"/>
    <w:rsid w:val="006223C7"/>
    <w:rsid w:val="006338B0"/>
    <w:rsid w:val="00636662"/>
    <w:rsid w:val="00640A9A"/>
    <w:rsid w:val="00644B89"/>
    <w:rsid w:val="006562F0"/>
    <w:rsid w:val="006672C3"/>
    <w:rsid w:val="006855E3"/>
    <w:rsid w:val="00686B53"/>
    <w:rsid w:val="006A2D92"/>
    <w:rsid w:val="006C08D6"/>
    <w:rsid w:val="006D14F9"/>
    <w:rsid w:val="006D34C6"/>
    <w:rsid w:val="006D3D7E"/>
    <w:rsid w:val="006D78D9"/>
    <w:rsid w:val="006E0EFD"/>
    <w:rsid w:val="006E3BBE"/>
    <w:rsid w:val="006E54AE"/>
    <w:rsid w:val="006E59B4"/>
    <w:rsid w:val="006F7F24"/>
    <w:rsid w:val="00721661"/>
    <w:rsid w:val="00731A65"/>
    <w:rsid w:val="00755C78"/>
    <w:rsid w:val="0076093B"/>
    <w:rsid w:val="00772AE4"/>
    <w:rsid w:val="007801C4"/>
    <w:rsid w:val="00785360"/>
    <w:rsid w:val="007936A9"/>
    <w:rsid w:val="00793EF0"/>
    <w:rsid w:val="00796283"/>
    <w:rsid w:val="0079664C"/>
    <w:rsid w:val="007A2444"/>
    <w:rsid w:val="007A792A"/>
    <w:rsid w:val="007B284F"/>
    <w:rsid w:val="007B3535"/>
    <w:rsid w:val="007B7FF2"/>
    <w:rsid w:val="007C5219"/>
    <w:rsid w:val="007F311C"/>
    <w:rsid w:val="00802351"/>
    <w:rsid w:val="008043A5"/>
    <w:rsid w:val="00806460"/>
    <w:rsid w:val="008076FB"/>
    <w:rsid w:val="008172EE"/>
    <w:rsid w:val="00833950"/>
    <w:rsid w:val="0083552F"/>
    <w:rsid w:val="00862119"/>
    <w:rsid w:val="00864C49"/>
    <w:rsid w:val="008712D7"/>
    <w:rsid w:val="00881E01"/>
    <w:rsid w:val="008949EE"/>
    <w:rsid w:val="008A088E"/>
    <w:rsid w:val="008A4498"/>
    <w:rsid w:val="008A5FD9"/>
    <w:rsid w:val="008A7D31"/>
    <w:rsid w:val="008C5165"/>
    <w:rsid w:val="008D2242"/>
    <w:rsid w:val="008F3298"/>
    <w:rsid w:val="009068BC"/>
    <w:rsid w:val="00910DB8"/>
    <w:rsid w:val="00912C65"/>
    <w:rsid w:val="00917DF5"/>
    <w:rsid w:val="0092545F"/>
    <w:rsid w:val="00932900"/>
    <w:rsid w:val="00943557"/>
    <w:rsid w:val="00945E4E"/>
    <w:rsid w:val="00946E33"/>
    <w:rsid w:val="009513B1"/>
    <w:rsid w:val="009541C4"/>
    <w:rsid w:val="00956519"/>
    <w:rsid w:val="00996555"/>
    <w:rsid w:val="009A49DE"/>
    <w:rsid w:val="009A5B4B"/>
    <w:rsid w:val="009B6749"/>
    <w:rsid w:val="009C243C"/>
    <w:rsid w:val="009C4875"/>
    <w:rsid w:val="009D0E57"/>
    <w:rsid w:val="009D14B4"/>
    <w:rsid w:val="009D6EC8"/>
    <w:rsid w:val="009E7E36"/>
    <w:rsid w:val="00A03E0A"/>
    <w:rsid w:val="00A0668E"/>
    <w:rsid w:val="00A13F26"/>
    <w:rsid w:val="00A22975"/>
    <w:rsid w:val="00A2588F"/>
    <w:rsid w:val="00A367A3"/>
    <w:rsid w:val="00A42E60"/>
    <w:rsid w:val="00A45A41"/>
    <w:rsid w:val="00A50ACA"/>
    <w:rsid w:val="00A571A8"/>
    <w:rsid w:val="00A66335"/>
    <w:rsid w:val="00A71C9F"/>
    <w:rsid w:val="00A7257F"/>
    <w:rsid w:val="00A73B75"/>
    <w:rsid w:val="00A77DB8"/>
    <w:rsid w:val="00A800EB"/>
    <w:rsid w:val="00A80F71"/>
    <w:rsid w:val="00A81966"/>
    <w:rsid w:val="00A86B39"/>
    <w:rsid w:val="00A96D17"/>
    <w:rsid w:val="00AA2169"/>
    <w:rsid w:val="00AA780E"/>
    <w:rsid w:val="00AB6CFF"/>
    <w:rsid w:val="00AC29D6"/>
    <w:rsid w:val="00AC2C07"/>
    <w:rsid w:val="00AC2CDE"/>
    <w:rsid w:val="00AC5EA4"/>
    <w:rsid w:val="00AD3337"/>
    <w:rsid w:val="00AF1CB6"/>
    <w:rsid w:val="00AF5930"/>
    <w:rsid w:val="00B048BB"/>
    <w:rsid w:val="00B14855"/>
    <w:rsid w:val="00B2764B"/>
    <w:rsid w:val="00B313FD"/>
    <w:rsid w:val="00B33A73"/>
    <w:rsid w:val="00B4511D"/>
    <w:rsid w:val="00B547EE"/>
    <w:rsid w:val="00B6282B"/>
    <w:rsid w:val="00B728BF"/>
    <w:rsid w:val="00B80EA6"/>
    <w:rsid w:val="00B8369A"/>
    <w:rsid w:val="00B86A22"/>
    <w:rsid w:val="00B948DC"/>
    <w:rsid w:val="00B96A9C"/>
    <w:rsid w:val="00BA0728"/>
    <w:rsid w:val="00BA4686"/>
    <w:rsid w:val="00BB3C79"/>
    <w:rsid w:val="00BB6A73"/>
    <w:rsid w:val="00BC28A6"/>
    <w:rsid w:val="00BC4154"/>
    <w:rsid w:val="00BD0CC0"/>
    <w:rsid w:val="00BE3FA3"/>
    <w:rsid w:val="00BF3948"/>
    <w:rsid w:val="00C02DAD"/>
    <w:rsid w:val="00C0698F"/>
    <w:rsid w:val="00C21D0C"/>
    <w:rsid w:val="00C23D97"/>
    <w:rsid w:val="00C32C48"/>
    <w:rsid w:val="00C437D5"/>
    <w:rsid w:val="00C50456"/>
    <w:rsid w:val="00C660F0"/>
    <w:rsid w:val="00C668F0"/>
    <w:rsid w:val="00C72BD9"/>
    <w:rsid w:val="00C82CD3"/>
    <w:rsid w:val="00C8300B"/>
    <w:rsid w:val="00C85E92"/>
    <w:rsid w:val="00C93EF9"/>
    <w:rsid w:val="00C952E4"/>
    <w:rsid w:val="00CA29A6"/>
    <w:rsid w:val="00CB652D"/>
    <w:rsid w:val="00CB7BD5"/>
    <w:rsid w:val="00CE20AC"/>
    <w:rsid w:val="00D01ADD"/>
    <w:rsid w:val="00D02E23"/>
    <w:rsid w:val="00D121DD"/>
    <w:rsid w:val="00D20FAA"/>
    <w:rsid w:val="00D25619"/>
    <w:rsid w:val="00D264C8"/>
    <w:rsid w:val="00D26E75"/>
    <w:rsid w:val="00D32CFB"/>
    <w:rsid w:val="00D338AA"/>
    <w:rsid w:val="00D558D3"/>
    <w:rsid w:val="00D620B9"/>
    <w:rsid w:val="00D62BAB"/>
    <w:rsid w:val="00D657E3"/>
    <w:rsid w:val="00D74941"/>
    <w:rsid w:val="00D810B7"/>
    <w:rsid w:val="00D95192"/>
    <w:rsid w:val="00D96621"/>
    <w:rsid w:val="00D97792"/>
    <w:rsid w:val="00DB1CB8"/>
    <w:rsid w:val="00DD61CB"/>
    <w:rsid w:val="00DE1603"/>
    <w:rsid w:val="00DF027E"/>
    <w:rsid w:val="00E251EB"/>
    <w:rsid w:val="00E47145"/>
    <w:rsid w:val="00E47193"/>
    <w:rsid w:val="00E50DA7"/>
    <w:rsid w:val="00E5279E"/>
    <w:rsid w:val="00E53379"/>
    <w:rsid w:val="00E60EB3"/>
    <w:rsid w:val="00E619C4"/>
    <w:rsid w:val="00E626B1"/>
    <w:rsid w:val="00E70210"/>
    <w:rsid w:val="00E705CB"/>
    <w:rsid w:val="00E76D57"/>
    <w:rsid w:val="00E812CF"/>
    <w:rsid w:val="00E81AC6"/>
    <w:rsid w:val="00E82906"/>
    <w:rsid w:val="00E87F9B"/>
    <w:rsid w:val="00E96784"/>
    <w:rsid w:val="00EB29A1"/>
    <w:rsid w:val="00EB5831"/>
    <w:rsid w:val="00EC2320"/>
    <w:rsid w:val="00EC6B2E"/>
    <w:rsid w:val="00ED3088"/>
    <w:rsid w:val="00EE09C1"/>
    <w:rsid w:val="00EE0A05"/>
    <w:rsid w:val="00EE7AF4"/>
    <w:rsid w:val="00EF1AE0"/>
    <w:rsid w:val="00EF46E6"/>
    <w:rsid w:val="00EF7171"/>
    <w:rsid w:val="00F01CF0"/>
    <w:rsid w:val="00F05892"/>
    <w:rsid w:val="00F073DF"/>
    <w:rsid w:val="00F14051"/>
    <w:rsid w:val="00F20F3D"/>
    <w:rsid w:val="00F42507"/>
    <w:rsid w:val="00F612BE"/>
    <w:rsid w:val="00F612D8"/>
    <w:rsid w:val="00F61D6A"/>
    <w:rsid w:val="00F621FA"/>
    <w:rsid w:val="00F6691A"/>
    <w:rsid w:val="00F70752"/>
    <w:rsid w:val="00F70DE4"/>
    <w:rsid w:val="00F865C4"/>
    <w:rsid w:val="00F87F2E"/>
    <w:rsid w:val="00F9232B"/>
    <w:rsid w:val="00F92864"/>
    <w:rsid w:val="00F93B55"/>
    <w:rsid w:val="00F95C60"/>
    <w:rsid w:val="00F96203"/>
    <w:rsid w:val="00F97C94"/>
    <w:rsid w:val="00FB24F1"/>
    <w:rsid w:val="00FC501E"/>
    <w:rsid w:val="00FC5269"/>
    <w:rsid w:val="00FD0176"/>
    <w:rsid w:val="00FD356B"/>
    <w:rsid w:val="00FE5FDE"/>
    <w:rsid w:val="00FE6CF7"/>
    <w:rsid w:val="00FF011B"/>
    <w:rsid w:val="00FF1689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31B96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338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8B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B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8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8B0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6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EA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37810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966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Yi Yang</cp:lastModifiedBy>
  <cp:revision>68</cp:revision>
  <cp:lastPrinted>2019-03-05T23:55:00Z</cp:lastPrinted>
  <dcterms:created xsi:type="dcterms:W3CDTF">2019-03-08T17:00:00Z</dcterms:created>
  <dcterms:modified xsi:type="dcterms:W3CDTF">2019-04-14T13:06:00Z</dcterms:modified>
</cp:coreProperties>
</file>