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D2D8E" w14:textId="77777777" w:rsidR="006E0EFD" w:rsidRPr="005A4FB1" w:rsidRDefault="006E0EFD" w:rsidP="005A4FB1">
      <w:pPr>
        <w:rPr>
          <w:rFonts w:cs="Arial"/>
          <w:i/>
        </w:rPr>
      </w:pPr>
      <w:r w:rsidRPr="009D6EC8">
        <w:rPr>
          <w:rFonts w:cs="Arial"/>
          <w:b/>
        </w:rPr>
        <w:t>PROJECT TITLE:</w:t>
      </w:r>
      <w:r w:rsidR="00EF7EBD">
        <w:rPr>
          <w:rFonts w:cs="Arial"/>
          <w:b/>
        </w:rPr>
        <w:t xml:space="preserve"> County Groundwater Atlas</w:t>
      </w:r>
    </w:p>
    <w:p w14:paraId="259AA088" w14:textId="77777777" w:rsidR="006E0EFD" w:rsidRPr="009D6EC8" w:rsidRDefault="006E0EFD" w:rsidP="006E0EFD">
      <w:pPr>
        <w:rPr>
          <w:rFonts w:cs="Arial"/>
        </w:rPr>
      </w:pPr>
      <w:r w:rsidRPr="009D6EC8">
        <w:rPr>
          <w:rFonts w:cs="Arial"/>
          <w:b/>
        </w:rPr>
        <w:t>I. PROJECT STATEMENT</w:t>
      </w:r>
    </w:p>
    <w:p w14:paraId="5A74BA1C" w14:textId="199AA343" w:rsidR="00443203" w:rsidRDefault="00270415" w:rsidP="00270415">
      <w:pPr>
        <w:rPr>
          <w:rFonts w:cs="Arial"/>
        </w:rPr>
      </w:pPr>
      <w:r>
        <w:t xml:space="preserve">This projects supports continuing development of the County Groundwater Atlases by the </w:t>
      </w:r>
      <w:r w:rsidR="00927C73">
        <w:t>Department of Natural Resources (DNR)</w:t>
      </w:r>
      <w:r>
        <w:t xml:space="preserve">.  </w:t>
      </w:r>
      <w:r w:rsidR="00CF3409">
        <w:rPr>
          <w:rFonts w:cs="Arial"/>
        </w:rPr>
        <w:t>The goal is to provide this valuable water and resource management “information infrastructure” to every county in Minnesota. Approximately half the counties have a completed atlas, and with this funding</w:t>
      </w:r>
      <w:r w:rsidR="001F7C41">
        <w:rPr>
          <w:rFonts w:cs="Arial"/>
        </w:rPr>
        <w:t>,</w:t>
      </w:r>
      <w:r w:rsidR="00CF3409">
        <w:rPr>
          <w:rFonts w:cs="Arial"/>
        </w:rPr>
        <w:t xml:space="preserve"> four to five new atlases </w:t>
      </w:r>
      <w:r w:rsidR="00443203">
        <w:rPr>
          <w:rFonts w:cs="Arial"/>
        </w:rPr>
        <w:t xml:space="preserve">will be </w:t>
      </w:r>
      <w:r w:rsidR="00CF3409">
        <w:rPr>
          <w:rFonts w:cs="Arial"/>
        </w:rPr>
        <w:t>completed each year</w:t>
      </w:r>
      <w:r w:rsidR="00443203">
        <w:rPr>
          <w:rFonts w:cs="Arial"/>
        </w:rPr>
        <w:t xml:space="preserve"> for the next two years</w:t>
      </w:r>
      <w:r w:rsidR="00CF3409">
        <w:rPr>
          <w:rFonts w:cs="Arial"/>
        </w:rPr>
        <w:t xml:space="preserve">. </w:t>
      </w:r>
      <w:r>
        <w:t xml:space="preserve">This </w:t>
      </w:r>
      <w:r w:rsidR="00CF3409">
        <w:t xml:space="preserve">LCCMR </w:t>
      </w:r>
      <w:r>
        <w:t>project will complete, continue</w:t>
      </w:r>
      <w:r w:rsidR="00CF3409">
        <w:t xml:space="preserve">, or initiate Groundwater Atlases </w:t>
      </w:r>
      <w:r>
        <w:t xml:space="preserve">for the following counties:  </w:t>
      </w:r>
    </w:p>
    <w:p w14:paraId="43C9143E" w14:textId="77777777" w:rsidR="00443203" w:rsidRPr="00443203" w:rsidRDefault="00443203" w:rsidP="00270415">
      <w:pPr>
        <w:rPr>
          <w:rFonts w:cs="Arial"/>
          <w:sz w:val="12"/>
        </w:rPr>
        <w:sectPr w:rsidR="00443203" w:rsidRPr="00443203" w:rsidSect="00DD4751">
          <w:headerReference w:type="default" r:id="rId8"/>
          <w:headerReference w:type="first" r:id="rId9"/>
          <w:footerReference w:type="first" r:id="rId10"/>
          <w:type w:val="continuous"/>
          <w:pgSz w:w="12240" w:h="15840" w:code="1"/>
          <w:pgMar w:top="1440" w:right="1080" w:bottom="720" w:left="1080" w:header="648" w:footer="144" w:gutter="0"/>
          <w:cols w:space="720"/>
          <w:docGrid w:linePitch="360"/>
        </w:sectPr>
      </w:pPr>
    </w:p>
    <w:p w14:paraId="5554E95F" w14:textId="77777777" w:rsidR="00270415" w:rsidRPr="00381D31" w:rsidRDefault="00270415" w:rsidP="00270415">
      <w:pPr>
        <w:pStyle w:val="ListParagraph"/>
        <w:numPr>
          <w:ilvl w:val="0"/>
          <w:numId w:val="12"/>
        </w:numPr>
      </w:pPr>
      <w:r w:rsidRPr="00381D31">
        <w:lastRenderedPageBreak/>
        <w:t>Becker</w:t>
      </w:r>
    </w:p>
    <w:p w14:paraId="3589D5E0" w14:textId="77777777" w:rsidR="00270415" w:rsidRPr="00381D31" w:rsidRDefault="00270415" w:rsidP="00270415">
      <w:pPr>
        <w:pStyle w:val="ListParagraph"/>
        <w:numPr>
          <w:ilvl w:val="0"/>
          <w:numId w:val="12"/>
        </w:numPr>
      </w:pPr>
      <w:r w:rsidRPr="00381D31">
        <w:t>Cass</w:t>
      </w:r>
    </w:p>
    <w:p w14:paraId="03DECF97" w14:textId="77777777" w:rsidR="00270415" w:rsidRPr="00381D31" w:rsidRDefault="00270415" w:rsidP="00270415">
      <w:pPr>
        <w:pStyle w:val="ListParagraph"/>
        <w:numPr>
          <w:ilvl w:val="0"/>
          <w:numId w:val="12"/>
        </w:numPr>
      </w:pPr>
      <w:r w:rsidRPr="00381D31">
        <w:t>Dodge</w:t>
      </w:r>
    </w:p>
    <w:p w14:paraId="15CE85D6" w14:textId="77777777" w:rsidR="00270415" w:rsidRPr="00381D31" w:rsidRDefault="00270415" w:rsidP="00270415">
      <w:pPr>
        <w:pStyle w:val="ListParagraph"/>
        <w:numPr>
          <w:ilvl w:val="0"/>
          <w:numId w:val="12"/>
        </w:numPr>
      </w:pPr>
      <w:r w:rsidRPr="00381D31">
        <w:t>Hennepin</w:t>
      </w:r>
    </w:p>
    <w:p w14:paraId="2EF11C23" w14:textId="77777777" w:rsidR="00270415" w:rsidRPr="00381D31" w:rsidRDefault="00270415" w:rsidP="00270415">
      <w:pPr>
        <w:pStyle w:val="ListParagraph"/>
        <w:numPr>
          <w:ilvl w:val="0"/>
          <w:numId w:val="12"/>
        </w:numPr>
      </w:pPr>
      <w:r w:rsidRPr="00381D31">
        <w:t>Hubbard</w:t>
      </w:r>
    </w:p>
    <w:p w14:paraId="72D149CC" w14:textId="77777777" w:rsidR="00270415" w:rsidRPr="00381D31" w:rsidRDefault="00270415" w:rsidP="00270415">
      <w:pPr>
        <w:pStyle w:val="ListParagraph"/>
        <w:numPr>
          <w:ilvl w:val="0"/>
          <w:numId w:val="12"/>
        </w:numPr>
      </w:pPr>
      <w:r w:rsidRPr="00381D31">
        <w:t>Isanti</w:t>
      </w:r>
    </w:p>
    <w:p w14:paraId="62090434" w14:textId="77777777" w:rsidR="00270415" w:rsidRPr="00381D31" w:rsidRDefault="00270415" w:rsidP="00270415">
      <w:pPr>
        <w:pStyle w:val="ListParagraph"/>
        <w:numPr>
          <w:ilvl w:val="0"/>
          <w:numId w:val="12"/>
        </w:numPr>
      </w:pPr>
      <w:r w:rsidRPr="00381D31">
        <w:t>Kanabec</w:t>
      </w:r>
    </w:p>
    <w:p w14:paraId="0EF32AB7" w14:textId="77777777" w:rsidR="00270415" w:rsidRPr="00381D31" w:rsidRDefault="00270415" w:rsidP="00270415">
      <w:pPr>
        <w:pStyle w:val="ListParagraph"/>
        <w:numPr>
          <w:ilvl w:val="0"/>
          <w:numId w:val="12"/>
        </w:numPr>
      </w:pPr>
      <w:r w:rsidRPr="00381D31">
        <w:t>Olmsted</w:t>
      </w:r>
    </w:p>
    <w:p w14:paraId="21BA7092" w14:textId="77777777" w:rsidR="00270415" w:rsidRDefault="00270415" w:rsidP="00270415">
      <w:pPr>
        <w:pStyle w:val="ListParagraph"/>
        <w:numPr>
          <w:ilvl w:val="0"/>
          <w:numId w:val="12"/>
        </w:numPr>
      </w:pPr>
      <w:r w:rsidRPr="00381D31">
        <w:t>Wadena</w:t>
      </w:r>
    </w:p>
    <w:p w14:paraId="087D4C76" w14:textId="77777777" w:rsidR="00270415" w:rsidRDefault="00270415" w:rsidP="00270415">
      <w:pPr>
        <w:sectPr w:rsidR="00270415" w:rsidSect="00C47904">
          <w:type w:val="continuous"/>
          <w:pgSz w:w="12240" w:h="15840" w:code="1"/>
          <w:pgMar w:top="1440" w:right="1080" w:bottom="1440" w:left="1080" w:header="648" w:footer="720" w:gutter="0"/>
          <w:cols w:num="5" w:space="288"/>
          <w:docGrid w:linePitch="360"/>
        </w:sectPr>
      </w:pPr>
    </w:p>
    <w:p w14:paraId="72AC155C" w14:textId="77777777" w:rsidR="00270415" w:rsidRPr="00C47904" w:rsidRDefault="00270415" w:rsidP="00270415">
      <w:pPr>
        <w:rPr>
          <w:sz w:val="8"/>
        </w:rPr>
      </w:pPr>
    </w:p>
    <w:p w14:paraId="791FCA7A" w14:textId="4E33BBFA" w:rsidR="00B55E09" w:rsidRDefault="004E69E8" w:rsidP="00270415">
      <w:pPr>
        <w:rPr>
          <w:rFonts w:cs="Arial"/>
        </w:rPr>
      </w:pPr>
      <w:r>
        <w:t xml:space="preserve">A </w:t>
      </w:r>
      <w:r w:rsidR="00607B08">
        <w:t>Groundwater Atlas</w:t>
      </w:r>
      <w:r>
        <w:t xml:space="preserve"> provides information that is </w:t>
      </w:r>
      <w:r w:rsidRPr="004B2305">
        <w:rPr>
          <w:u w:val="single"/>
        </w:rPr>
        <w:t>essential to sustainable management and wise use of Minnesota’s groundwater resources</w:t>
      </w:r>
      <w:r>
        <w:t xml:space="preserve">.  </w:t>
      </w:r>
      <w:r w:rsidR="00B55E09" w:rsidRPr="00EF7EBD">
        <w:rPr>
          <w:rFonts w:cs="Arial"/>
        </w:rPr>
        <w:t xml:space="preserve">The </w:t>
      </w:r>
      <w:r w:rsidR="004B2305">
        <w:rPr>
          <w:rFonts w:cs="Arial"/>
        </w:rPr>
        <w:t>a</w:t>
      </w:r>
      <w:r w:rsidR="00B55E09" w:rsidRPr="00EF7EBD">
        <w:rPr>
          <w:rFonts w:cs="Arial"/>
        </w:rPr>
        <w:t>tlas is the primary</w:t>
      </w:r>
      <w:r w:rsidR="001F7C41">
        <w:rPr>
          <w:rFonts w:cs="Arial"/>
        </w:rPr>
        <w:t xml:space="preserve"> tool</w:t>
      </w:r>
      <w:r w:rsidR="00B55E09" w:rsidRPr="00EF7EBD">
        <w:rPr>
          <w:rFonts w:cs="Arial"/>
        </w:rPr>
        <w:t xml:space="preserve"> </w:t>
      </w:r>
      <w:r w:rsidR="001F7C41">
        <w:rPr>
          <w:rFonts w:cs="Arial"/>
        </w:rPr>
        <w:t>providing</w:t>
      </w:r>
      <w:r w:rsidR="00B55E09" w:rsidRPr="00EF7EBD">
        <w:rPr>
          <w:rFonts w:cs="Arial"/>
        </w:rPr>
        <w:t xml:space="preserve"> comprehensive geologic and </w:t>
      </w:r>
      <w:r w:rsidR="00B55E09">
        <w:rPr>
          <w:rFonts w:cs="Arial"/>
        </w:rPr>
        <w:t xml:space="preserve">groundwater </w:t>
      </w:r>
      <w:r w:rsidR="00B55E09" w:rsidRPr="00EF7EBD">
        <w:rPr>
          <w:rFonts w:cs="Arial"/>
        </w:rPr>
        <w:t xml:space="preserve">mapping and associated </w:t>
      </w:r>
      <w:r w:rsidR="00EE4F4A">
        <w:rPr>
          <w:rFonts w:cs="Arial"/>
        </w:rPr>
        <w:t xml:space="preserve">information </w:t>
      </w:r>
      <w:r w:rsidR="00B55E09" w:rsidRPr="00EF7EBD">
        <w:rPr>
          <w:rFonts w:cs="Arial"/>
        </w:rPr>
        <w:t>for planners</w:t>
      </w:r>
      <w:r w:rsidR="00EE4F4A">
        <w:rPr>
          <w:rFonts w:cs="Arial"/>
        </w:rPr>
        <w:t xml:space="preserve">, managers, </w:t>
      </w:r>
      <w:r w:rsidR="00B55E09" w:rsidRPr="00EF7EBD">
        <w:rPr>
          <w:rFonts w:cs="Arial"/>
        </w:rPr>
        <w:t>scientists</w:t>
      </w:r>
      <w:r w:rsidR="00EE4F4A">
        <w:rPr>
          <w:rFonts w:cs="Arial"/>
        </w:rPr>
        <w:t xml:space="preserve"> and citizens</w:t>
      </w:r>
      <w:r w:rsidR="00B55E09" w:rsidRPr="00EF7EBD">
        <w:rPr>
          <w:rFonts w:cs="Arial"/>
        </w:rPr>
        <w:t xml:space="preserve"> statewide for a wide variety of projects such as</w:t>
      </w:r>
      <w:r w:rsidR="00B55E09">
        <w:rPr>
          <w:rFonts w:cs="Arial"/>
        </w:rPr>
        <w:t>:</w:t>
      </w:r>
    </w:p>
    <w:p w14:paraId="4D5F2EF7" w14:textId="77777777" w:rsidR="00927C73" w:rsidRPr="00927C73" w:rsidRDefault="00927C73" w:rsidP="00270415">
      <w:pPr>
        <w:rPr>
          <w:rFonts w:cs="Arial"/>
          <w:sz w:val="6"/>
        </w:rPr>
      </w:pPr>
    </w:p>
    <w:p w14:paraId="68EF5245" w14:textId="77777777" w:rsidR="00443203" w:rsidRPr="00927C73" w:rsidRDefault="00443203" w:rsidP="00443203">
      <w:pPr>
        <w:pStyle w:val="ListParagraph"/>
        <w:rPr>
          <w:rFonts w:cs="Arial"/>
          <w:sz w:val="12"/>
        </w:rPr>
        <w:sectPr w:rsidR="00443203" w:rsidRPr="00927C73" w:rsidSect="00C47904">
          <w:headerReference w:type="default" r:id="rId11"/>
          <w:footerReference w:type="default" r:id="rId12"/>
          <w:headerReference w:type="first" r:id="rId13"/>
          <w:footerReference w:type="first" r:id="rId14"/>
          <w:type w:val="continuous"/>
          <w:pgSz w:w="12240" w:h="15840" w:code="1"/>
          <w:pgMar w:top="1440" w:right="1080" w:bottom="1440" w:left="1080" w:header="648" w:footer="720" w:gutter="0"/>
          <w:cols w:space="720"/>
          <w:docGrid w:linePitch="360"/>
        </w:sectPr>
      </w:pPr>
    </w:p>
    <w:p w14:paraId="648B6611" w14:textId="355715E2" w:rsidR="00443203" w:rsidRPr="00443203" w:rsidRDefault="00443203" w:rsidP="00C47904">
      <w:pPr>
        <w:pStyle w:val="ListParagraph"/>
        <w:numPr>
          <w:ilvl w:val="0"/>
          <w:numId w:val="14"/>
        </w:numPr>
        <w:ind w:left="180" w:hanging="180"/>
        <w:rPr>
          <w:rFonts w:cs="Arial"/>
        </w:rPr>
      </w:pPr>
      <w:r w:rsidRPr="00443203">
        <w:rPr>
          <w:rFonts w:cs="Arial"/>
        </w:rPr>
        <w:lastRenderedPageBreak/>
        <w:t>Water supply planning</w:t>
      </w:r>
    </w:p>
    <w:p w14:paraId="47CC7604" w14:textId="173EE5C7" w:rsidR="00C47904" w:rsidRPr="00C47904" w:rsidRDefault="00443203" w:rsidP="00C47904">
      <w:pPr>
        <w:pStyle w:val="ListParagraph"/>
        <w:numPr>
          <w:ilvl w:val="0"/>
          <w:numId w:val="14"/>
        </w:numPr>
        <w:ind w:left="180" w:hanging="180"/>
        <w:rPr>
          <w:rFonts w:cs="Arial"/>
        </w:rPr>
      </w:pPr>
      <w:r w:rsidRPr="00443203">
        <w:rPr>
          <w:rFonts w:cs="Arial"/>
        </w:rPr>
        <w:t>Land use decisions</w:t>
      </w:r>
    </w:p>
    <w:p w14:paraId="3E70C923" w14:textId="77777777" w:rsidR="00C47904" w:rsidRDefault="00C47904" w:rsidP="00C47904">
      <w:pPr>
        <w:pStyle w:val="ListParagraph"/>
        <w:ind w:left="180"/>
        <w:rPr>
          <w:rFonts w:cs="Arial"/>
        </w:rPr>
      </w:pPr>
    </w:p>
    <w:p w14:paraId="185CF24A" w14:textId="4E160954" w:rsidR="00443203" w:rsidRPr="00C47904" w:rsidRDefault="00443203" w:rsidP="00C47904">
      <w:pPr>
        <w:pStyle w:val="ListParagraph"/>
        <w:numPr>
          <w:ilvl w:val="0"/>
          <w:numId w:val="14"/>
        </w:numPr>
        <w:ind w:left="180" w:hanging="180"/>
        <w:rPr>
          <w:rFonts w:cs="Arial"/>
        </w:rPr>
      </w:pPr>
      <w:r w:rsidRPr="00C47904">
        <w:rPr>
          <w:rFonts w:cs="Arial"/>
        </w:rPr>
        <w:t xml:space="preserve">Resources development </w:t>
      </w:r>
    </w:p>
    <w:p w14:paraId="295855E3" w14:textId="262E0C27" w:rsidR="00C47904" w:rsidRPr="00C47904" w:rsidRDefault="00443203" w:rsidP="00C47904">
      <w:pPr>
        <w:pStyle w:val="ListParagraph"/>
        <w:numPr>
          <w:ilvl w:val="0"/>
          <w:numId w:val="14"/>
        </w:numPr>
        <w:ind w:left="180" w:hanging="180"/>
        <w:rPr>
          <w:rFonts w:cs="Arial"/>
        </w:rPr>
      </w:pPr>
      <w:r w:rsidRPr="00443203">
        <w:rPr>
          <w:rFonts w:cs="Arial"/>
        </w:rPr>
        <w:t>Resource protection</w:t>
      </w:r>
    </w:p>
    <w:p w14:paraId="650EDAD2" w14:textId="77777777" w:rsidR="00C47904" w:rsidRDefault="00C47904" w:rsidP="00C47904">
      <w:pPr>
        <w:pStyle w:val="ListParagraph"/>
        <w:ind w:left="180"/>
        <w:rPr>
          <w:rFonts w:cs="Arial"/>
        </w:rPr>
      </w:pPr>
    </w:p>
    <w:p w14:paraId="207AD28F" w14:textId="57369C16" w:rsidR="00B55E09" w:rsidRPr="00443203" w:rsidRDefault="00443203" w:rsidP="00C47904">
      <w:pPr>
        <w:pStyle w:val="ListParagraph"/>
        <w:numPr>
          <w:ilvl w:val="0"/>
          <w:numId w:val="14"/>
        </w:numPr>
        <w:ind w:left="180" w:hanging="180"/>
        <w:rPr>
          <w:rFonts w:cs="Arial"/>
        </w:rPr>
      </w:pPr>
      <w:r w:rsidRPr="00443203">
        <w:rPr>
          <w:rFonts w:cs="Arial"/>
        </w:rPr>
        <w:t>Transportation planning</w:t>
      </w:r>
    </w:p>
    <w:p w14:paraId="5D177067" w14:textId="01C18ED2" w:rsidR="00C47904" w:rsidRPr="00C47904" w:rsidRDefault="00443203" w:rsidP="00C47904">
      <w:pPr>
        <w:pStyle w:val="ListParagraph"/>
        <w:numPr>
          <w:ilvl w:val="0"/>
          <w:numId w:val="14"/>
        </w:numPr>
        <w:ind w:left="180" w:hanging="180"/>
        <w:rPr>
          <w:rFonts w:cs="Arial"/>
        </w:rPr>
      </w:pPr>
      <w:r w:rsidRPr="00443203">
        <w:rPr>
          <w:rFonts w:cs="Arial"/>
        </w:rPr>
        <w:t>Agricultur</w:t>
      </w:r>
      <w:r w:rsidR="007B28EE">
        <w:rPr>
          <w:rFonts w:cs="Arial"/>
        </w:rPr>
        <w:t>al</w:t>
      </w:r>
      <w:r w:rsidRPr="00443203">
        <w:rPr>
          <w:rFonts w:cs="Arial"/>
        </w:rPr>
        <w:t xml:space="preserve"> Water Supply</w:t>
      </w:r>
    </w:p>
    <w:p w14:paraId="7D8B812F" w14:textId="77777777" w:rsidR="00C47904" w:rsidRDefault="00C47904" w:rsidP="00C47904">
      <w:pPr>
        <w:pStyle w:val="ListParagraph"/>
        <w:ind w:left="180"/>
        <w:rPr>
          <w:rFonts w:cs="Arial"/>
        </w:rPr>
      </w:pPr>
    </w:p>
    <w:p w14:paraId="2B8CCF4C" w14:textId="424F76C0" w:rsidR="00443203" w:rsidRDefault="00443203" w:rsidP="00C47904">
      <w:pPr>
        <w:pStyle w:val="ListParagraph"/>
        <w:numPr>
          <w:ilvl w:val="0"/>
          <w:numId w:val="14"/>
        </w:numPr>
        <w:ind w:left="180" w:hanging="180"/>
        <w:rPr>
          <w:rFonts w:cs="Arial"/>
        </w:rPr>
      </w:pPr>
      <w:r w:rsidRPr="00443203">
        <w:rPr>
          <w:rFonts w:cs="Arial"/>
        </w:rPr>
        <w:t xml:space="preserve">Groundwater </w:t>
      </w:r>
      <w:r w:rsidR="000F5F45">
        <w:rPr>
          <w:rFonts w:cs="Arial"/>
        </w:rPr>
        <w:t>Research</w:t>
      </w:r>
      <w:r w:rsidR="00C47904">
        <w:rPr>
          <w:rFonts w:cs="Arial"/>
        </w:rPr>
        <w:t xml:space="preserve"> </w:t>
      </w:r>
    </w:p>
    <w:p w14:paraId="6C3C1569" w14:textId="77777777" w:rsidR="00C47904" w:rsidRPr="00C47904" w:rsidRDefault="00C47904" w:rsidP="006B18B0">
      <w:pPr>
        <w:pStyle w:val="ListParagraph"/>
        <w:numPr>
          <w:ilvl w:val="0"/>
          <w:numId w:val="14"/>
        </w:numPr>
        <w:spacing w:before="120" w:after="120"/>
        <w:ind w:left="180" w:hanging="180"/>
      </w:pPr>
      <w:r w:rsidRPr="00C47904">
        <w:rPr>
          <w:rFonts w:cs="Arial"/>
        </w:rPr>
        <w:t>Environmental Impact Statement</w:t>
      </w:r>
    </w:p>
    <w:p w14:paraId="7B2E3BE9" w14:textId="77777777" w:rsidR="00C47904" w:rsidRDefault="00C47904" w:rsidP="00C47904">
      <w:pPr>
        <w:spacing w:before="120" w:after="120"/>
        <w:sectPr w:rsidR="00C47904" w:rsidSect="00C47904">
          <w:type w:val="continuous"/>
          <w:pgSz w:w="12240" w:h="15840" w:code="1"/>
          <w:pgMar w:top="1440" w:right="1080" w:bottom="1440" w:left="1080" w:header="648" w:footer="720" w:gutter="0"/>
          <w:cols w:num="4" w:space="0"/>
          <w:docGrid w:linePitch="360"/>
        </w:sectPr>
      </w:pPr>
    </w:p>
    <w:p w14:paraId="4DD3DDFD" w14:textId="4133CC37" w:rsidR="000F5F45" w:rsidRPr="000F5F45" w:rsidRDefault="00607B08" w:rsidP="00C47904">
      <w:pPr>
        <w:spacing w:before="120" w:after="120"/>
      </w:pPr>
      <w:r>
        <w:t>A few of the many r</w:t>
      </w:r>
      <w:r w:rsidR="000F5F45">
        <w:t xml:space="preserve">epresentative comments provided by typical atlas users are provided </w:t>
      </w:r>
      <w:r>
        <w:t xml:space="preserve">below.  The comments demonstrate </w:t>
      </w:r>
      <w:r w:rsidR="004B2305">
        <w:t xml:space="preserve">some of the many uses and </w:t>
      </w:r>
      <w:r>
        <w:t>the value Minnesota place</w:t>
      </w:r>
      <w:r w:rsidR="004B2305">
        <w:t>s</w:t>
      </w:r>
      <w:r>
        <w:t xml:space="preserve"> on having a completed atlas </w:t>
      </w:r>
      <w:r w:rsidR="004B2305">
        <w:t>for their county:</w:t>
      </w:r>
    </w:p>
    <w:p w14:paraId="6204DD7C" w14:textId="77777777" w:rsidR="00E91B1F" w:rsidRDefault="00E91B1F" w:rsidP="00E10FCC">
      <w:pPr>
        <w:spacing w:after="120"/>
      </w:pPr>
      <w:r w:rsidRPr="00B822C9">
        <w:rPr>
          <w:b/>
        </w:rPr>
        <w:t>Heather Cunningham is the Zoning and Environmental Services Administrator for Carlton County</w:t>
      </w:r>
      <w:r>
        <w:t xml:space="preserve">, “I </w:t>
      </w:r>
      <w:r w:rsidRPr="00D722A7">
        <w:rPr>
          <w:i/>
          <w:u w:val="single"/>
        </w:rPr>
        <w:t>use the atlas on a monthly basis</w:t>
      </w:r>
      <w:r>
        <w:t>. In the last 6 months, I have used it for the review of an EAW, pollution sensitivity for a proposed mixed use development, groundwater contamination at our closed landfill, and in working with a lake association.”</w:t>
      </w:r>
    </w:p>
    <w:p w14:paraId="6FB1CEE3" w14:textId="194E1EBB" w:rsidR="00E91B1F" w:rsidRDefault="00E91B1F" w:rsidP="00E10FCC">
      <w:pPr>
        <w:spacing w:after="120"/>
      </w:pPr>
      <w:r w:rsidRPr="00B822C9">
        <w:rPr>
          <w:b/>
        </w:rPr>
        <w:t xml:space="preserve">Stephanie Souter, Supervisor of Planning and Performance Management Team, Washington County </w:t>
      </w:r>
      <w:r>
        <w:t xml:space="preserve">“The updated data on shallow and subsurface groundwater sensitivity in the </w:t>
      </w:r>
      <w:r w:rsidRPr="00D722A7">
        <w:rPr>
          <w:i/>
          <w:u w:val="single"/>
        </w:rPr>
        <w:t>DNR’s Part B atlas was an integral part</w:t>
      </w:r>
      <w:r>
        <w:t xml:space="preserve"> of the county’s development of a septic system risk assessment tool.”</w:t>
      </w:r>
    </w:p>
    <w:p w14:paraId="68707431" w14:textId="77777777" w:rsidR="00E91B1F" w:rsidRDefault="00E91B1F" w:rsidP="00E10FCC">
      <w:pPr>
        <w:spacing w:after="120"/>
      </w:pPr>
      <w:r w:rsidRPr="00B822C9">
        <w:rPr>
          <w:b/>
        </w:rPr>
        <w:t>Rob Vix is a Drilling Manager with Traut Well Drilling Companies</w:t>
      </w:r>
      <w:r>
        <w:t xml:space="preserve">, “For agriculture projects the atlas helps when looking for </w:t>
      </w:r>
      <w:r w:rsidRPr="00D722A7">
        <w:rPr>
          <w:i/>
          <w:u w:val="single"/>
        </w:rPr>
        <w:t>places to drill high capacity wells</w:t>
      </w:r>
      <w:r>
        <w:t>. The county atlas maps also provide ideas of the feasibility of my geothermal projects.”</w:t>
      </w:r>
    </w:p>
    <w:p w14:paraId="5718299D" w14:textId="7912B1F7" w:rsidR="00270415" w:rsidRPr="00533288" w:rsidRDefault="00270415" w:rsidP="00533288">
      <w:pPr>
        <w:spacing w:after="120"/>
      </w:pPr>
      <w:r>
        <w:lastRenderedPageBreak/>
        <w:t xml:space="preserve">The Groundwater Atlas defines aquifer availability and boundaries and helps identify the interconnection of aquifers, their sensitivity to pollution, </w:t>
      </w:r>
      <w:r w:rsidR="00B55E09">
        <w:t xml:space="preserve">recharge areas </w:t>
      </w:r>
      <w:r>
        <w:t xml:space="preserve">and their connection to the land surface and surface water resources. Delineation and mapping of aquifers, recharge areas, and karst systems is an essential step to inform management decisions that will protect water supplies, public health, ecological systems and the groundwater resource. </w:t>
      </w:r>
      <w:r w:rsidRPr="004B2305">
        <w:rPr>
          <w:u w:val="single"/>
        </w:rPr>
        <w:t>A completed atlas represents a resource management ben</w:t>
      </w:r>
      <w:r w:rsidR="00B55E09" w:rsidRPr="004B2305">
        <w:rPr>
          <w:u w:val="single"/>
        </w:rPr>
        <w:t xml:space="preserve">efit to the county and others.  </w:t>
      </w:r>
    </w:p>
    <w:p w14:paraId="6EB82801" w14:textId="7C5DD7CF" w:rsidR="003B77C9" w:rsidRDefault="003B77C9" w:rsidP="003B77C9">
      <w:r>
        <w:t xml:space="preserve">The complete </w:t>
      </w:r>
      <w:r w:rsidR="00927C73">
        <w:t xml:space="preserve">county </w:t>
      </w:r>
      <w:r>
        <w:t>atlas is prepared in two parts</w:t>
      </w:r>
      <w:r w:rsidR="004E69E8">
        <w:t xml:space="preserve"> (</w:t>
      </w:r>
      <w:r w:rsidR="004E69E8" w:rsidRPr="004B2305">
        <w:rPr>
          <w:b/>
        </w:rPr>
        <w:t>Two Parts</w:t>
      </w:r>
      <w:r w:rsidR="00BE21B0" w:rsidRPr="004B2305">
        <w:rPr>
          <w:b/>
        </w:rPr>
        <w:t>: One Atlas</w:t>
      </w:r>
      <w:r w:rsidR="004E69E8">
        <w:t>)</w:t>
      </w:r>
      <w:r>
        <w:t>:</w:t>
      </w:r>
    </w:p>
    <w:p w14:paraId="074C5D07" w14:textId="77777777" w:rsidR="00355783" w:rsidRPr="00927C73" w:rsidRDefault="00355783" w:rsidP="003B77C9">
      <w:pPr>
        <w:rPr>
          <w:sz w:val="12"/>
        </w:rPr>
      </w:pPr>
    </w:p>
    <w:p w14:paraId="29E3905F" w14:textId="21010E35" w:rsidR="003B77C9" w:rsidRDefault="003B77C9" w:rsidP="00EF7EBD">
      <w:pPr>
        <w:pStyle w:val="ListParagraph"/>
        <w:numPr>
          <w:ilvl w:val="0"/>
          <w:numId w:val="13"/>
        </w:numPr>
      </w:pPr>
      <w:r>
        <w:t>Geolog</w:t>
      </w:r>
      <w:r w:rsidR="00F4584E">
        <w:t>ic</w:t>
      </w:r>
      <w:r w:rsidR="00FA6282">
        <w:t xml:space="preserve"> Atlas</w:t>
      </w:r>
      <w:r>
        <w:t xml:space="preserve"> (Part A) – </w:t>
      </w:r>
      <w:r w:rsidR="001F7C41">
        <w:t>T</w:t>
      </w:r>
      <w:r w:rsidR="00927C73">
        <w:t xml:space="preserve">he geology </w:t>
      </w:r>
      <w:r>
        <w:t>is mapped by the Minnesota Geological Survey (MGS).</w:t>
      </w:r>
    </w:p>
    <w:p w14:paraId="1A265678" w14:textId="333B133D" w:rsidR="003B77C9" w:rsidRDefault="003B77C9" w:rsidP="00EF7EBD">
      <w:pPr>
        <w:pStyle w:val="ListParagraph"/>
        <w:numPr>
          <w:ilvl w:val="0"/>
          <w:numId w:val="13"/>
        </w:numPr>
      </w:pPr>
      <w:r>
        <w:t xml:space="preserve">Groundwater </w:t>
      </w:r>
      <w:r w:rsidR="00FA6282">
        <w:t xml:space="preserve">Atlas </w:t>
      </w:r>
      <w:r>
        <w:t xml:space="preserve">(Part B) – </w:t>
      </w:r>
      <w:r w:rsidR="001F7C41">
        <w:t>T</w:t>
      </w:r>
      <w:r>
        <w:t>he groundwater resources are mapped by the DNR.</w:t>
      </w:r>
    </w:p>
    <w:p w14:paraId="5286116B" w14:textId="77777777" w:rsidR="003B77C9" w:rsidRPr="00927C73" w:rsidRDefault="003B77C9" w:rsidP="003B77C9">
      <w:pPr>
        <w:rPr>
          <w:sz w:val="12"/>
        </w:rPr>
      </w:pPr>
    </w:p>
    <w:p w14:paraId="1B5BB887" w14:textId="69E81A3E" w:rsidR="00B55E09" w:rsidRDefault="003B77C9" w:rsidP="00F4584E">
      <w:pPr>
        <w:ind w:left="-90"/>
      </w:pPr>
      <w:r>
        <w:t xml:space="preserve">Each Groundwater Atlas project includes some or all of the following work components: assembly of data layers and development of </w:t>
      </w:r>
      <w:r w:rsidR="00927C73">
        <w:t xml:space="preserve">groundwater </w:t>
      </w:r>
      <w:r>
        <w:t xml:space="preserve">models; development of </w:t>
      </w:r>
      <w:r w:rsidR="00432EAF">
        <w:t xml:space="preserve">flow direction </w:t>
      </w:r>
      <w:r>
        <w:t>maps of the water table and deeper aquifers; groundwater sample collection and laboratory analysis; analysis and interpretation of water chemistry data</w:t>
      </w:r>
      <w:r w:rsidR="00F4584E">
        <w:t xml:space="preserve"> including age of groundwater</w:t>
      </w:r>
      <w:r>
        <w:t xml:space="preserve">; construction of hydrogeologic cross sections; construction of maps of </w:t>
      </w:r>
      <w:r w:rsidR="00533288">
        <w:t>p</w:t>
      </w:r>
      <w:r>
        <w:t xml:space="preserve">ollution sensitivity; preparation and publication of the final atlas report, training of local atlas users, dissemination of information and follow up support. </w:t>
      </w:r>
    </w:p>
    <w:p w14:paraId="54F8BA76" w14:textId="459DA429" w:rsidR="00B55E09" w:rsidRDefault="00B55E09" w:rsidP="00F4584E">
      <w:pPr>
        <w:ind w:left="-90"/>
      </w:pPr>
    </w:p>
    <w:p w14:paraId="4BAF93B5" w14:textId="77777777" w:rsidR="00DD4751" w:rsidRDefault="00DD4751" w:rsidP="00F4584E">
      <w:pPr>
        <w:ind w:left="-90"/>
      </w:pPr>
      <w:bookmarkStart w:id="0" w:name="_GoBack"/>
      <w:bookmarkEnd w:id="0"/>
    </w:p>
    <w:p w14:paraId="4E3766BE" w14:textId="77777777" w:rsidR="006E0EFD" w:rsidRPr="009D6EC8" w:rsidRDefault="006E0EFD" w:rsidP="00F4584E">
      <w:pPr>
        <w:ind w:left="-90"/>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2438" w:type="dxa"/>
        <w:tblLook w:val="04A0" w:firstRow="1" w:lastRow="0" w:firstColumn="1" w:lastColumn="0" w:noHBand="0" w:noVBand="1"/>
      </w:tblPr>
      <w:tblGrid>
        <w:gridCol w:w="8284"/>
        <w:gridCol w:w="1786"/>
        <w:gridCol w:w="100"/>
        <w:gridCol w:w="2268"/>
      </w:tblGrid>
      <w:tr w:rsidR="00686B53" w:rsidRPr="00EB5831" w14:paraId="031755D3" w14:textId="77777777" w:rsidTr="00F4584E">
        <w:tc>
          <w:tcPr>
            <w:tcW w:w="10170" w:type="dxa"/>
            <w:gridSpan w:val="3"/>
          </w:tcPr>
          <w:p w14:paraId="06E75BEA" w14:textId="6F09FC6D" w:rsidR="008A5FD9" w:rsidRDefault="00686B53" w:rsidP="00F4584E">
            <w:pPr>
              <w:widowControl w:val="0"/>
              <w:ind w:left="-90"/>
              <w:rPr>
                <w:rFonts w:cs="Arial"/>
                <w:b/>
              </w:rPr>
            </w:pPr>
            <w:r w:rsidRPr="00A56668">
              <w:rPr>
                <w:rFonts w:cs="Arial"/>
                <w:b/>
              </w:rPr>
              <w:t>Activity 1</w:t>
            </w:r>
            <w:r w:rsidR="008A5FD9" w:rsidRPr="00A56668">
              <w:rPr>
                <w:rFonts w:cs="Arial"/>
                <w:b/>
              </w:rPr>
              <w:t xml:space="preserve"> Title</w:t>
            </w:r>
            <w:r w:rsidRPr="00A56668">
              <w:rPr>
                <w:rFonts w:cs="Arial"/>
                <w:b/>
              </w:rPr>
              <w:t>:</w:t>
            </w:r>
            <w:r w:rsidR="00B55E09" w:rsidRPr="00A56668">
              <w:rPr>
                <w:rFonts w:cs="Arial"/>
                <w:b/>
              </w:rPr>
              <w:t xml:space="preserve"> Groundwater Atlas Production</w:t>
            </w:r>
            <w:r w:rsidR="007E6564" w:rsidRPr="00A56668">
              <w:rPr>
                <w:rFonts w:cs="Arial"/>
                <w:b/>
              </w:rPr>
              <w:t xml:space="preserve"> – Work on Nine Counties</w:t>
            </w:r>
          </w:p>
          <w:p w14:paraId="690A75B8" w14:textId="50D5B740" w:rsidR="007E6564" w:rsidRDefault="008A5FD9" w:rsidP="00F4584E">
            <w:pPr>
              <w:widowControl w:val="0"/>
              <w:ind w:left="-90"/>
            </w:pPr>
            <w:r>
              <w:rPr>
                <w:rFonts w:cs="Arial"/>
                <w:b/>
              </w:rPr>
              <w:t>Description:</w:t>
            </w:r>
            <w:r w:rsidR="003B77C9">
              <w:rPr>
                <w:rFonts w:cs="Arial"/>
                <w:b/>
              </w:rPr>
              <w:t xml:space="preserve">  </w:t>
            </w:r>
            <w:r w:rsidR="00927C73" w:rsidRPr="00927C73">
              <w:rPr>
                <w:rFonts w:cs="Arial"/>
              </w:rPr>
              <w:t>T</w:t>
            </w:r>
            <w:r w:rsidR="003B77C9" w:rsidRPr="003B77C9">
              <w:t>he DNR will collect groundwater samples</w:t>
            </w:r>
            <w:r w:rsidR="00927C73">
              <w:t xml:space="preserve"> in </w:t>
            </w:r>
            <w:r w:rsidR="00607B08">
              <w:t xml:space="preserve">at least </w:t>
            </w:r>
            <w:r w:rsidR="00927C73">
              <w:t>eight counties</w:t>
            </w:r>
            <w:r w:rsidR="003B77C9" w:rsidRPr="003B77C9">
              <w:t xml:space="preserve">, compile field chemistry, analyze groundwater samples for natural chemistry and age-dating isotopes, and assemble aquifer characteristics. The project includes preparing groundwater maps, </w:t>
            </w:r>
            <w:r w:rsidR="007E6564">
              <w:t xml:space="preserve">groundwater </w:t>
            </w:r>
            <w:r w:rsidR="003B77C9" w:rsidRPr="003B77C9">
              <w:t>cross sections, and interpretations of pollution sensitivity of aquifer</w:t>
            </w:r>
            <w:r w:rsidR="00A56668">
              <w:t xml:space="preserve">s for up to eight counties, with publication as </w:t>
            </w:r>
            <w:r w:rsidR="00F4584E">
              <w:t>Groundwater Atlas</w:t>
            </w:r>
            <w:r w:rsidR="003B77C9" w:rsidRPr="003B77C9">
              <w:t xml:space="preserve"> reports. </w:t>
            </w:r>
          </w:p>
          <w:p w14:paraId="75D3FFFA" w14:textId="77777777" w:rsidR="007E6564" w:rsidRPr="00A56668" w:rsidRDefault="007E6564" w:rsidP="00F4584E">
            <w:pPr>
              <w:widowControl w:val="0"/>
              <w:ind w:left="-90"/>
              <w:rPr>
                <w:sz w:val="18"/>
              </w:rPr>
            </w:pPr>
          </w:p>
          <w:p w14:paraId="5FDE2219" w14:textId="1B6F69BB" w:rsidR="007E6564" w:rsidRDefault="007E6564" w:rsidP="00C47904">
            <w:pPr>
              <w:ind w:left="-90"/>
            </w:pPr>
            <w:r>
              <w:t xml:space="preserve">This project will provide </w:t>
            </w:r>
            <w:r w:rsidR="00A56668">
              <w:t>GIS</w:t>
            </w:r>
            <w:r>
              <w:t xml:space="preserve"> data layers for use in decision-support systems, such as county land use planning, and county environmental programs.  The assembled </w:t>
            </w:r>
            <w:r w:rsidR="00A56668">
              <w:t>GIS</w:t>
            </w:r>
            <w:r>
              <w:t xml:space="preserve"> layers and electronic tools also make the information accessible for local, regional, and state decision makers, scientists, industry and citizens.</w:t>
            </w:r>
            <w:r w:rsidR="00C47904">
              <w:t xml:space="preserve"> </w:t>
            </w:r>
            <w:r w:rsidR="003B77C9" w:rsidRPr="003B77C9">
              <w:t xml:space="preserve">Project design and data collection for counties in southeast Minnesota (Dodge and Olmsted) may include </w:t>
            </w:r>
            <w:r w:rsidR="00B07258">
              <w:t>s</w:t>
            </w:r>
            <w:r w:rsidR="003B77C9" w:rsidRPr="003B77C9">
              <w:t xml:space="preserve">pecialty mapping </w:t>
            </w:r>
            <w:r>
              <w:t>of the karst groundwater conditions, including dye tracing</w:t>
            </w:r>
            <w:r w:rsidR="003B77C9" w:rsidRPr="003B77C9">
              <w:t xml:space="preserve">. </w:t>
            </w:r>
          </w:p>
          <w:p w14:paraId="0C101977" w14:textId="77777777" w:rsidR="007E6564" w:rsidRPr="00A56668" w:rsidRDefault="007E6564" w:rsidP="00F4584E">
            <w:pPr>
              <w:widowControl w:val="0"/>
              <w:ind w:left="-90"/>
              <w:rPr>
                <w:sz w:val="16"/>
              </w:rPr>
            </w:pPr>
          </w:p>
          <w:p w14:paraId="74BDE071" w14:textId="532757BF" w:rsidR="003B77C9" w:rsidRPr="003B77C9" w:rsidRDefault="00A56668" w:rsidP="00F4584E">
            <w:pPr>
              <w:widowControl w:val="0"/>
              <w:ind w:left="-90"/>
            </w:pPr>
            <w:r>
              <w:t>This LCCMR project will complete, continue, or initiate Groundwater Atlases for the ni</w:t>
            </w:r>
            <w:r w:rsidR="00607B08">
              <w:t>n</w:t>
            </w:r>
            <w:r>
              <w:t xml:space="preserve">e counties list in the Project Statement, Section 1. </w:t>
            </w:r>
            <w:r w:rsidR="003B77C9" w:rsidRPr="003B77C9">
              <w:t xml:space="preserve">The goal is to complete Activity 1 work in approximately </w:t>
            </w:r>
            <w:r w:rsidR="00607B08">
              <w:t xml:space="preserve">two </w:t>
            </w:r>
            <w:r w:rsidR="003B77C9" w:rsidRPr="003B77C9">
              <w:t>years.</w:t>
            </w:r>
          </w:p>
          <w:p w14:paraId="33585759" w14:textId="77777777" w:rsidR="003B77C9" w:rsidRDefault="003B77C9" w:rsidP="00F4584E">
            <w:pPr>
              <w:autoSpaceDE w:val="0"/>
              <w:autoSpaceDN w:val="0"/>
              <w:adjustRightInd w:val="0"/>
              <w:ind w:left="-90"/>
              <w:rPr>
                <w:rFonts w:cs="Arial"/>
                <w:b/>
                <w:bCs/>
                <w:color w:val="000000"/>
              </w:rPr>
            </w:pPr>
          </w:p>
          <w:p w14:paraId="5F1BB464" w14:textId="77777777" w:rsidR="005431D4" w:rsidRDefault="005431D4" w:rsidP="00F4584E">
            <w:pPr>
              <w:autoSpaceDE w:val="0"/>
              <w:autoSpaceDN w:val="0"/>
              <w:adjustRightInd w:val="0"/>
              <w:ind w:left="-90"/>
              <w:rPr>
                <w:rFonts w:cs="Arial"/>
                <w:b/>
                <w:bCs/>
                <w:color w:val="000000"/>
              </w:rPr>
            </w:pPr>
            <w:r>
              <w:rPr>
                <w:rFonts w:cs="Arial"/>
                <w:b/>
                <w:bCs/>
                <w:color w:val="000000"/>
              </w:rPr>
              <w:t>ENRTF BUDGET: $</w:t>
            </w:r>
            <w:r w:rsidR="00F4584E">
              <w:rPr>
                <w:rFonts w:cs="Arial"/>
                <w:b/>
                <w:bCs/>
                <w:color w:val="000000"/>
              </w:rPr>
              <w:t>2,250,000</w:t>
            </w:r>
          </w:p>
          <w:p w14:paraId="44E44FF9" w14:textId="77777777" w:rsidR="005431D4" w:rsidRPr="00217C2A" w:rsidRDefault="005431D4" w:rsidP="00F4584E">
            <w:pPr>
              <w:autoSpaceDE w:val="0"/>
              <w:autoSpaceDN w:val="0"/>
              <w:adjustRightInd w:val="0"/>
              <w:ind w:left="-90"/>
              <w:rPr>
                <w:sz w:val="18"/>
                <w:szCs w:val="18"/>
              </w:rPr>
            </w:pPr>
          </w:p>
        </w:tc>
        <w:tc>
          <w:tcPr>
            <w:tcW w:w="2268" w:type="dxa"/>
          </w:tcPr>
          <w:p w14:paraId="05DCCFAA" w14:textId="77777777" w:rsidR="00686B53" w:rsidRPr="00EB5831" w:rsidRDefault="00686B53" w:rsidP="00F4584E">
            <w:pPr>
              <w:ind w:left="-90"/>
              <w:rPr>
                <w:rFonts w:cs="Arial"/>
              </w:rPr>
            </w:pPr>
          </w:p>
        </w:tc>
      </w:tr>
      <w:tr w:rsidR="00F4584E" w:rsidRPr="009D6EC8" w14:paraId="7FD58796" w14:textId="77777777" w:rsidTr="00F45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68" w:type="dxa"/>
        </w:trPr>
        <w:tc>
          <w:tcPr>
            <w:tcW w:w="8284" w:type="dxa"/>
          </w:tcPr>
          <w:p w14:paraId="31442172" w14:textId="77777777" w:rsidR="00F4584E" w:rsidRPr="00210C77" w:rsidRDefault="00F4584E" w:rsidP="00F4584E">
            <w:pPr>
              <w:rPr>
                <w:rFonts w:cs="Arial"/>
                <w:b/>
              </w:rPr>
            </w:pPr>
            <w:r w:rsidRPr="00210C77">
              <w:rPr>
                <w:rFonts w:cs="Arial"/>
                <w:b/>
              </w:rPr>
              <w:lastRenderedPageBreak/>
              <w:t>Outcome</w:t>
            </w:r>
          </w:p>
        </w:tc>
        <w:tc>
          <w:tcPr>
            <w:tcW w:w="1786" w:type="dxa"/>
          </w:tcPr>
          <w:p w14:paraId="1DC3E930" w14:textId="77777777" w:rsidR="00F4584E" w:rsidRPr="009D6EC8" w:rsidRDefault="00F4584E" w:rsidP="00F4584E">
            <w:pPr>
              <w:jc w:val="center"/>
              <w:rPr>
                <w:rFonts w:cs="Arial"/>
                <w:b/>
              </w:rPr>
            </w:pPr>
            <w:r w:rsidRPr="009D6EC8">
              <w:rPr>
                <w:rFonts w:cs="Arial"/>
                <w:b/>
              </w:rPr>
              <w:t>Completion Date</w:t>
            </w:r>
          </w:p>
        </w:tc>
      </w:tr>
      <w:tr w:rsidR="00F4584E" w:rsidRPr="009D6EC8" w14:paraId="66BAE6C1" w14:textId="77777777" w:rsidTr="00F45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68" w:type="dxa"/>
        </w:trPr>
        <w:tc>
          <w:tcPr>
            <w:tcW w:w="8284" w:type="dxa"/>
          </w:tcPr>
          <w:p w14:paraId="3DBF8BB0" w14:textId="7E13D8A5" w:rsidR="00F4584E" w:rsidRPr="00210C77" w:rsidRDefault="00F4584E" w:rsidP="00A56668">
            <w:pPr>
              <w:rPr>
                <w:rFonts w:cs="Arial"/>
              </w:rPr>
            </w:pPr>
            <w:r w:rsidRPr="00F64DC4">
              <w:rPr>
                <w:rFonts w:cs="Arial"/>
              </w:rPr>
              <w:t xml:space="preserve">1.  Publish completed </w:t>
            </w:r>
            <w:r w:rsidR="00B07258">
              <w:rPr>
                <w:rFonts w:cs="Arial"/>
              </w:rPr>
              <w:t>Groundwater Atlas</w:t>
            </w:r>
            <w:r w:rsidRPr="00F64DC4">
              <w:rPr>
                <w:rFonts w:cs="Arial"/>
              </w:rPr>
              <w:t xml:space="preserve"> reports (four counties per year).</w:t>
            </w:r>
          </w:p>
        </w:tc>
        <w:tc>
          <w:tcPr>
            <w:tcW w:w="1786" w:type="dxa"/>
          </w:tcPr>
          <w:p w14:paraId="785EC510" w14:textId="419FAC4B" w:rsidR="00F4584E" w:rsidRPr="00F4584E" w:rsidRDefault="00F4584E" w:rsidP="00536CD5">
            <w:pPr>
              <w:rPr>
                <w:rFonts w:cs="Arial"/>
              </w:rPr>
            </w:pPr>
            <w:r w:rsidRPr="00F4584E">
              <w:rPr>
                <w:rFonts w:cs="Arial"/>
              </w:rPr>
              <w:t>June 30, 202</w:t>
            </w:r>
            <w:r w:rsidR="00536CD5">
              <w:rPr>
                <w:rFonts w:cs="Arial"/>
              </w:rPr>
              <w:t>2</w:t>
            </w:r>
          </w:p>
        </w:tc>
      </w:tr>
      <w:tr w:rsidR="00F4584E" w:rsidRPr="009D6EC8" w14:paraId="41F80676" w14:textId="77777777" w:rsidTr="00F45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68" w:type="dxa"/>
        </w:trPr>
        <w:tc>
          <w:tcPr>
            <w:tcW w:w="8284" w:type="dxa"/>
          </w:tcPr>
          <w:p w14:paraId="2B336257" w14:textId="77777777" w:rsidR="00F4584E" w:rsidRPr="00210C77" w:rsidRDefault="00F4584E" w:rsidP="00F4584E">
            <w:pPr>
              <w:rPr>
                <w:rFonts w:cs="Arial"/>
              </w:rPr>
            </w:pPr>
            <w:r w:rsidRPr="00210C77">
              <w:rPr>
                <w:rFonts w:cs="Arial"/>
              </w:rPr>
              <w:t xml:space="preserve">2.  Continue </w:t>
            </w:r>
            <w:r>
              <w:rPr>
                <w:rFonts w:cs="Arial"/>
              </w:rPr>
              <w:t xml:space="preserve">ongoing </w:t>
            </w:r>
            <w:r w:rsidRPr="00210C77">
              <w:rPr>
                <w:rFonts w:cs="Arial"/>
              </w:rPr>
              <w:t xml:space="preserve">work on </w:t>
            </w:r>
            <w:r w:rsidR="00B07258">
              <w:rPr>
                <w:rFonts w:cs="Arial"/>
              </w:rPr>
              <w:t>Groundwater Atlas</w:t>
            </w:r>
            <w:r w:rsidR="00B07258" w:rsidRPr="00210C77">
              <w:rPr>
                <w:rFonts w:cs="Arial"/>
              </w:rPr>
              <w:t xml:space="preserve"> </w:t>
            </w:r>
            <w:r w:rsidRPr="00210C77">
              <w:rPr>
                <w:rFonts w:cs="Arial"/>
              </w:rPr>
              <w:t>projects (up to eight counties).</w:t>
            </w:r>
          </w:p>
        </w:tc>
        <w:tc>
          <w:tcPr>
            <w:tcW w:w="1786" w:type="dxa"/>
          </w:tcPr>
          <w:p w14:paraId="6D50707B" w14:textId="403BD6B2" w:rsidR="00F4584E" w:rsidRPr="00F4584E" w:rsidRDefault="00F4584E" w:rsidP="00536CD5">
            <w:pPr>
              <w:rPr>
                <w:rFonts w:cs="Arial"/>
              </w:rPr>
            </w:pPr>
            <w:r w:rsidRPr="00F4584E">
              <w:rPr>
                <w:rFonts w:cs="Arial"/>
              </w:rPr>
              <w:t>June 30, 202</w:t>
            </w:r>
            <w:r w:rsidR="00536CD5">
              <w:rPr>
                <w:rFonts w:cs="Arial"/>
              </w:rPr>
              <w:t>2</w:t>
            </w:r>
          </w:p>
        </w:tc>
      </w:tr>
      <w:tr w:rsidR="00F4584E" w:rsidRPr="009D6EC8" w14:paraId="4C5875D2" w14:textId="77777777" w:rsidTr="00F45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68" w:type="dxa"/>
        </w:trPr>
        <w:tc>
          <w:tcPr>
            <w:tcW w:w="8284" w:type="dxa"/>
          </w:tcPr>
          <w:p w14:paraId="631CA65F" w14:textId="03590176" w:rsidR="00F4584E" w:rsidRPr="00210C77" w:rsidRDefault="00F4584E" w:rsidP="00A56668">
            <w:pPr>
              <w:rPr>
                <w:rFonts w:cs="Arial"/>
              </w:rPr>
            </w:pPr>
            <w:r w:rsidRPr="00210C77">
              <w:rPr>
                <w:rFonts w:cs="Arial"/>
              </w:rPr>
              <w:t xml:space="preserve">3.  </w:t>
            </w:r>
            <w:r w:rsidR="00A56668">
              <w:rPr>
                <w:rFonts w:cs="Arial"/>
              </w:rPr>
              <w:t>C</w:t>
            </w:r>
            <w:r w:rsidRPr="00210C77">
              <w:rPr>
                <w:rFonts w:cs="Arial"/>
              </w:rPr>
              <w:t xml:space="preserve">ontinue to add data GIS data layers.  </w:t>
            </w:r>
          </w:p>
        </w:tc>
        <w:tc>
          <w:tcPr>
            <w:tcW w:w="1786" w:type="dxa"/>
          </w:tcPr>
          <w:p w14:paraId="5D276B9E" w14:textId="1D83CD16" w:rsidR="00F4584E" w:rsidRPr="00F4584E" w:rsidRDefault="00F4584E" w:rsidP="00536CD5">
            <w:pPr>
              <w:rPr>
                <w:rFonts w:cs="Arial"/>
              </w:rPr>
            </w:pPr>
            <w:r w:rsidRPr="00F4584E">
              <w:rPr>
                <w:rFonts w:cs="Arial"/>
              </w:rPr>
              <w:t>June 30, 202</w:t>
            </w:r>
            <w:r w:rsidR="00536CD5">
              <w:rPr>
                <w:rFonts w:cs="Arial"/>
              </w:rPr>
              <w:t>2</w:t>
            </w:r>
          </w:p>
        </w:tc>
      </w:tr>
      <w:tr w:rsidR="00F4584E" w:rsidRPr="009D6EC8" w14:paraId="320F0D0B" w14:textId="77777777" w:rsidTr="00F45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68" w:type="dxa"/>
        </w:trPr>
        <w:tc>
          <w:tcPr>
            <w:tcW w:w="8284" w:type="dxa"/>
          </w:tcPr>
          <w:p w14:paraId="78ACE8EE" w14:textId="0FCC87EF" w:rsidR="00F4584E" w:rsidRPr="00210C77" w:rsidRDefault="00F4584E" w:rsidP="00A56668">
            <w:pPr>
              <w:rPr>
                <w:rFonts w:cs="Arial"/>
              </w:rPr>
            </w:pPr>
            <w:r w:rsidRPr="00210C77">
              <w:rPr>
                <w:rFonts w:cs="Arial"/>
              </w:rPr>
              <w:t xml:space="preserve">4.  Start new </w:t>
            </w:r>
            <w:r w:rsidR="00B07258">
              <w:rPr>
                <w:rFonts w:cs="Arial"/>
              </w:rPr>
              <w:t>Groundwater Atlas</w:t>
            </w:r>
            <w:r w:rsidRPr="00210C77">
              <w:rPr>
                <w:rFonts w:cs="Arial"/>
              </w:rPr>
              <w:t xml:space="preserve"> projects</w:t>
            </w:r>
            <w:r w:rsidR="00A56668">
              <w:rPr>
                <w:rFonts w:cs="Arial"/>
              </w:rPr>
              <w:t xml:space="preserve"> in counties </w:t>
            </w:r>
            <w:r w:rsidRPr="00210C77">
              <w:rPr>
                <w:rFonts w:cs="Arial"/>
              </w:rPr>
              <w:t>(up to four</w:t>
            </w:r>
            <w:r>
              <w:rPr>
                <w:rFonts w:cs="Arial"/>
              </w:rPr>
              <w:t xml:space="preserve"> per year</w:t>
            </w:r>
            <w:r w:rsidRPr="00210C77">
              <w:rPr>
                <w:rFonts w:cs="Arial"/>
              </w:rPr>
              <w:t xml:space="preserve">). </w:t>
            </w:r>
          </w:p>
        </w:tc>
        <w:tc>
          <w:tcPr>
            <w:tcW w:w="1786" w:type="dxa"/>
          </w:tcPr>
          <w:p w14:paraId="1C70E507" w14:textId="424EEF35" w:rsidR="00F4584E" w:rsidRPr="00F4584E" w:rsidRDefault="00F4584E" w:rsidP="00536CD5">
            <w:pPr>
              <w:rPr>
                <w:rFonts w:cs="Arial"/>
              </w:rPr>
            </w:pPr>
            <w:r w:rsidRPr="00F4584E">
              <w:rPr>
                <w:rFonts w:cs="Arial"/>
              </w:rPr>
              <w:t>June 30, 202</w:t>
            </w:r>
            <w:r w:rsidR="00536CD5">
              <w:rPr>
                <w:rFonts w:cs="Arial"/>
              </w:rPr>
              <w:t>2</w:t>
            </w:r>
          </w:p>
        </w:tc>
      </w:tr>
    </w:tbl>
    <w:p w14:paraId="06742E20" w14:textId="77777777" w:rsidR="00C02DAD" w:rsidRDefault="00C02DAD" w:rsidP="005431D4">
      <w:pPr>
        <w:tabs>
          <w:tab w:val="left" w:pos="540"/>
        </w:tabs>
        <w:autoSpaceDE w:val="0"/>
        <w:autoSpaceDN w:val="0"/>
        <w:adjustRightInd w:val="0"/>
        <w:rPr>
          <w:rFonts w:cs="Arial"/>
          <w:i/>
        </w:rPr>
      </w:pPr>
    </w:p>
    <w:p w14:paraId="321A2DE9" w14:textId="34F46C1A"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31600489" w14:textId="5522B9AF" w:rsidR="00EF7EBD" w:rsidRPr="00EF7EBD" w:rsidRDefault="00EF7EBD" w:rsidP="00EF7EBD">
      <w:pPr>
        <w:spacing w:after="120"/>
      </w:pPr>
      <w:r w:rsidRPr="00EF7EBD">
        <w:t xml:space="preserve">The Minnesota Geological Survey completes the county geologic atlases. To determine the priority for which counties to begin work, the MGS asks that the counties participate with in-kind services and the MGS also considers groundwater sensitivity, resource demand, and the size of the population served. The Minnesota Department of Agriculture and the University of Minnesota provide laboratory analytical services as partners in support of the atlas work.  When the </w:t>
      </w:r>
      <w:r w:rsidR="00B07258">
        <w:t xml:space="preserve">county Groundwater Atlas </w:t>
      </w:r>
      <w:r w:rsidRPr="00EF7EBD">
        <w:t>is published, the DNR requests that local governments (county environmental and public works staff, county soil and water conservation districts) sponsor and support training workshops within the county for local staff and the public. The half-day workshops include presentations by the MGS (</w:t>
      </w:r>
      <w:r w:rsidR="00B07258">
        <w:t>Geologic</w:t>
      </w:r>
      <w:r w:rsidRPr="00EF7EBD">
        <w:t>) and the DNR (</w:t>
      </w:r>
      <w:r w:rsidR="00B07258">
        <w:t>Groundwater</w:t>
      </w:r>
      <w:r w:rsidRPr="00EF7EBD">
        <w:t xml:space="preserve">), and also include table-top exercises that demonstrate the </w:t>
      </w:r>
      <w:r w:rsidR="00B07258">
        <w:t xml:space="preserve">real-life </w:t>
      </w:r>
      <w:r w:rsidRPr="00EF7EBD">
        <w:t xml:space="preserve">application of the information provided in the atlas (e.g., landfill siting, water supply planning, and spill release response).  </w:t>
      </w:r>
      <w:r w:rsidR="000606AD">
        <w:t xml:space="preserve">Minnesota Department of Health participates in the Groundwater Atlas by providing a substantial amount of groundwater chemistry data collected by them for their purposes. </w:t>
      </w:r>
      <w:r w:rsidRPr="00EF7EBD">
        <w:t>The DNR atlas staff also offer to make presentations to county commissioners and staff</w:t>
      </w:r>
      <w:r w:rsidR="00B07258">
        <w:t xml:space="preserve"> and may lead field trips upon request</w:t>
      </w:r>
      <w:r w:rsidRPr="00EF7EBD">
        <w:t xml:space="preserve">.  </w:t>
      </w:r>
    </w:p>
    <w:p w14:paraId="4B9ABAC9" w14:textId="77777777"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37065B80" w14:textId="3936ED00" w:rsidR="00EF7EBD" w:rsidRPr="00EF7EBD" w:rsidRDefault="00EF7EBD" w:rsidP="00EF7EBD">
      <w:pPr>
        <w:spacing w:after="120"/>
        <w:rPr>
          <w:rFonts w:cs="Arial"/>
        </w:rPr>
      </w:pPr>
      <w:r w:rsidRPr="00EF7EBD">
        <w:rPr>
          <w:rFonts w:cs="Arial"/>
        </w:rPr>
        <w:t xml:space="preserve">To accomplish this important work, the </w:t>
      </w:r>
      <w:r w:rsidR="00F4584E">
        <w:rPr>
          <w:rFonts w:cs="Arial"/>
        </w:rPr>
        <w:t>Groundwater Atlas</w:t>
      </w:r>
      <w:r w:rsidRPr="00EF7EBD">
        <w:rPr>
          <w:rFonts w:cs="Arial"/>
        </w:rPr>
        <w:t xml:space="preserve">es are currently supported by a combination of the state general fund, ENRTF, and Clean Water Fund appropriations to the DNR. Karst system mapping and research to investigate and understand groundwater flow in complex geologic systems and has been ongoing in southeast Minnesota; some of this work has been supported by ENRTF and the University of Minnesota. The MGS receives funding for the </w:t>
      </w:r>
      <w:r w:rsidR="00F4584E">
        <w:rPr>
          <w:rFonts w:cs="Arial"/>
        </w:rPr>
        <w:t>G</w:t>
      </w:r>
      <w:r w:rsidR="00B07258">
        <w:rPr>
          <w:rFonts w:cs="Arial"/>
        </w:rPr>
        <w:t xml:space="preserve">eologic </w:t>
      </w:r>
      <w:r w:rsidR="00F4584E">
        <w:rPr>
          <w:rFonts w:cs="Arial"/>
        </w:rPr>
        <w:t>Atlas</w:t>
      </w:r>
      <w:r w:rsidRPr="00EF7EBD">
        <w:rPr>
          <w:rFonts w:cs="Arial"/>
        </w:rPr>
        <w:t xml:space="preserve"> from the DNR and also leverages </w:t>
      </w:r>
      <w:bookmarkStart w:id="1" w:name="OLE_LINK1"/>
      <w:r w:rsidRPr="00EF7EBD">
        <w:rPr>
          <w:rFonts w:cs="Arial"/>
        </w:rPr>
        <w:t xml:space="preserve">federal dollars from the National Cooperative Geologic Mapping Program of the USGS. The MGS competes annually for these federal cost-share dollars. </w:t>
      </w:r>
      <w:bookmarkEnd w:id="1"/>
      <w:r w:rsidRPr="00EF7EBD">
        <w:rPr>
          <w:rFonts w:cs="Arial"/>
        </w:rPr>
        <w:t xml:space="preserve">MGS </w:t>
      </w:r>
      <w:r w:rsidR="00F4584E">
        <w:rPr>
          <w:rFonts w:cs="Arial"/>
        </w:rPr>
        <w:t>Geologic Atlas</w:t>
      </w:r>
      <w:r w:rsidRPr="00EF7EBD">
        <w:rPr>
          <w:rFonts w:cs="Arial"/>
        </w:rPr>
        <w:t xml:space="preserve"> development is also supported by ENRTF and Clean Water Fund though direct appropriation. </w:t>
      </w:r>
      <w:r w:rsidRPr="00EF7EBD">
        <w:rPr>
          <w:rFonts w:cs="Arial"/>
          <w:b/>
        </w:rPr>
        <w:tab/>
      </w:r>
    </w:p>
    <w:p w14:paraId="024148F6" w14:textId="77777777"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14:paraId="1D98B5EC" w14:textId="77777777" w:rsidR="00C02DAD" w:rsidRPr="00F53693" w:rsidRDefault="00C02DAD" w:rsidP="00C02DAD">
      <w:pPr>
        <w:tabs>
          <w:tab w:val="left" w:pos="540"/>
        </w:tabs>
        <w:autoSpaceDE w:val="0"/>
        <w:autoSpaceDN w:val="0"/>
        <w:adjustRightInd w:val="0"/>
        <w:rPr>
          <w:rFonts w:cs="Arial"/>
          <w:bCs/>
          <w:i/>
          <w:color w:val="000000"/>
          <w:sz w:val="10"/>
          <w:szCs w:val="10"/>
        </w:rPr>
      </w:pPr>
    </w:p>
    <w:p w14:paraId="0687ED31" w14:textId="035DC054"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Budget Spreadsheet</w:t>
      </w:r>
      <w:r w:rsidR="00EE4F4A">
        <w:rPr>
          <w:rFonts w:cs="Arial"/>
          <w:b/>
          <w:iCs/>
          <w:color w:val="000000"/>
        </w:rPr>
        <w:t xml:space="preserve"> - ATTACHED</w:t>
      </w:r>
      <w:r w:rsidRPr="000A26B2">
        <w:rPr>
          <w:rFonts w:cs="Arial"/>
          <w:b/>
          <w:iCs/>
          <w:color w:val="000000"/>
        </w:rPr>
        <w:t xml:space="preserve"> </w:t>
      </w:r>
    </w:p>
    <w:p w14:paraId="27A31BBD" w14:textId="3EA80652"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r w:rsidR="00EE4F4A">
        <w:rPr>
          <w:rFonts w:cs="Arial"/>
          <w:b/>
          <w:iCs/>
          <w:color w:val="000000"/>
        </w:rPr>
        <w:t xml:space="preserve"> - ATTACHED</w:t>
      </w:r>
    </w:p>
    <w:p w14:paraId="376BD835" w14:textId="2D806FFC" w:rsidR="00C02DAD"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C. Parcel List Spreadsheet</w:t>
      </w:r>
      <w:r w:rsidR="00EE4F4A">
        <w:rPr>
          <w:rFonts w:cs="Arial"/>
          <w:b/>
          <w:iCs/>
          <w:color w:val="000000"/>
        </w:rPr>
        <w:t xml:space="preserve"> – N/A</w:t>
      </w:r>
    </w:p>
    <w:p w14:paraId="3F524C16" w14:textId="2FAD6113" w:rsidR="00AD3337" w:rsidRDefault="00AD3337" w:rsidP="00AD3337">
      <w:pPr>
        <w:tabs>
          <w:tab w:val="left" w:pos="540"/>
        </w:tabs>
        <w:autoSpaceDE w:val="0"/>
        <w:autoSpaceDN w:val="0"/>
        <w:adjustRightInd w:val="0"/>
        <w:ind w:left="540"/>
        <w:rPr>
          <w:rFonts w:cs="Arial"/>
          <w:b/>
          <w:iCs/>
          <w:color w:val="000000"/>
        </w:rPr>
      </w:pPr>
      <w:r w:rsidRPr="003C0F90">
        <w:rPr>
          <w:rFonts w:cs="Arial"/>
          <w:b/>
          <w:iCs/>
          <w:color w:val="000000"/>
        </w:rPr>
        <w:t>D. Acquisition, Easements, and Restoration Requirements</w:t>
      </w:r>
      <w:r w:rsidR="00EE4F4A">
        <w:rPr>
          <w:rFonts w:cs="Arial"/>
          <w:b/>
          <w:iCs/>
          <w:color w:val="000000"/>
        </w:rPr>
        <w:t xml:space="preserve"> – N/A</w:t>
      </w:r>
    </w:p>
    <w:p w14:paraId="533DB1DF" w14:textId="2971E268" w:rsidR="00AD3337" w:rsidRDefault="00AD3337" w:rsidP="00AD3337">
      <w:pPr>
        <w:tabs>
          <w:tab w:val="left" w:pos="540"/>
        </w:tabs>
        <w:autoSpaceDE w:val="0"/>
        <w:autoSpaceDN w:val="0"/>
        <w:adjustRightInd w:val="0"/>
        <w:ind w:left="540"/>
        <w:rPr>
          <w:rFonts w:cs="Arial"/>
          <w:b/>
          <w:iCs/>
          <w:color w:val="000000"/>
        </w:rPr>
      </w:pPr>
      <w:r w:rsidRPr="00AE4F00">
        <w:rPr>
          <w:rFonts w:cstheme="minorHAnsi"/>
          <w:b/>
          <w:iCs/>
        </w:rPr>
        <w:t>E. Research Addendum</w:t>
      </w:r>
      <w:r>
        <w:rPr>
          <w:rFonts w:cstheme="minorHAnsi"/>
          <w:b/>
          <w:iCs/>
        </w:rPr>
        <w:t xml:space="preserve"> </w:t>
      </w:r>
      <w:r w:rsidR="007936A9">
        <w:rPr>
          <w:rFonts w:cstheme="minorHAnsi"/>
          <w:b/>
          <w:iCs/>
        </w:rPr>
        <w:t>(Not required at proposal submission stage. Required later in process, if proposal is recommended. Staff will provide further information at that time)</w:t>
      </w:r>
      <w:r w:rsidR="00EE4F4A">
        <w:rPr>
          <w:rFonts w:cstheme="minorHAnsi"/>
          <w:b/>
          <w:iCs/>
        </w:rPr>
        <w:t>. N/A</w:t>
      </w:r>
    </w:p>
    <w:p w14:paraId="00DD959A" w14:textId="5F3D9638"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F</w:t>
      </w:r>
      <w:r w:rsidR="00F9232B">
        <w:rPr>
          <w:rFonts w:cs="Arial"/>
          <w:b/>
          <w:iCs/>
          <w:color w:val="000000"/>
        </w:rPr>
        <w:t>. Project Manager Qualifications and Organization Description</w:t>
      </w:r>
      <w:r w:rsidR="00EE4F4A">
        <w:rPr>
          <w:rFonts w:cs="Arial"/>
          <w:b/>
          <w:iCs/>
          <w:color w:val="000000"/>
        </w:rPr>
        <w:t xml:space="preserve"> – ATTACHED </w:t>
      </w:r>
    </w:p>
    <w:p w14:paraId="4FC0E366" w14:textId="055E3DAF"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G</w:t>
      </w:r>
      <w:r w:rsidR="00F9232B">
        <w:rPr>
          <w:rFonts w:cs="Arial"/>
          <w:b/>
          <w:iCs/>
          <w:color w:val="000000"/>
        </w:rPr>
        <w:t xml:space="preserve">. Letter or </w:t>
      </w:r>
      <w:r w:rsidR="003578A0">
        <w:rPr>
          <w:rFonts w:cs="Arial"/>
          <w:b/>
          <w:iCs/>
          <w:color w:val="000000"/>
        </w:rPr>
        <w:t>Resolution</w:t>
      </w:r>
      <w:r w:rsidR="00EE4F4A">
        <w:rPr>
          <w:rFonts w:cs="Arial"/>
          <w:b/>
          <w:iCs/>
          <w:color w:val="000000"/>
        </w:rPr>
        <w:t xml:space="preserve"> – N/A</w:t>
      </w:r>
    </w:p>
    <w:p w14:paraId="35E0B193" w14:textId="26CEA957" w:rsidR="00CE20AC" w:rsidRPr="003D21C8" w:rsidRDefault="00CE20AC" w:rsidP="00CE20AC">
      <w:pPr>
        <w:pStyle w:val="Bodycopy"/>
        <w:spacing w:before="0"/>
        <w:ind w:left="540"/>
        <w:rPr>
          <w:rFonts w:ascii="Calibri" w:hAnsi="Calibri" w:cs="Calibri"/>
          <w:b/>
          <w:sz w:val="22"/>
          <w:szCs w:val="22"/>
        </w:rPr>
      </w:pPr>
      <w:r w:rsidRPr="003D21C8">
        <w:rPr>
          <w:rFonts w:ascii="Calibri" w:hAnsi="Calibri" w:cs="Calibri"/>
          <w:b/>
          <w:sz w:val="22"/>
          <w:szCs w:val="22"/>
        </w:rPr>
        <w:t xml:space="preserve">H. </w:t>
      </w:r>
      <w:r w:rsidR="008A5FD9">
        <w:rPr>
          <w:rFonts w:ascii="Calibri" w:hAnsi="Calibri" w:cs="Calibri"/>
          <w:b/>
          <w:sz w:val="22"/>
          <w:szCs w:val="22"/>
        </w:rPr>
        <w:t>Financial Capacity</w:t>
      </w:r>
      <w:r w:rsidR="00EE4F4A">
        <w:rPr>
          <w:rFonts w:ascii="Calibri" w:hAnsi="Calibri" w:cs="Calibri"/>
          <w:b/>
          <w:sz w:val="22"/>
          <w:szCs w:val="22"/>
        </w:rPr>
        <w:t xml:space="preserve"> – N/A</w:t>
      </w:r>
    </w:p>
    <w:p w14:paraId="08091A77" w14:textId="77777777" w:rsidR="00CE20AC" w:rsidRPr="000A26B2" w:rsidRDefault="00CE20AC" w:rsidP="00C02DAD">
      <w:pPr>
        <w:tabs>
          <w:tab w:val="left" w:pos="540"/>
        </w:tabs>
        <w:autoSpaceDE w:val="0"/>
        <w:autoSpaceDN w:val="0"/>
        <w:adjustRightInd w:val="0"/>
        <w:ind w:left="540"/>
        <w:rPr>
          <w:rFonts w:cs="Arial"/>
          <w:b/>
          <w:iCs/>
          <w:color w:val="000000"/>
        </w:rPr>
      </w:pPr>
    </w:p>
    <w:p w14:paraId="6048F456" w14:textId="77777777" w:rsidR="006E0EFD" w:rsidRPr="009D6EC8" w:rsidRDefault="006E0EFD" w:rsidP="006E0EFD">
      <w:pPr>
        <w:rPr>
          <w:rFonts w:cs="Arial"/>
        </w:rPr>
      </w:pPr>
    </w:p>
    <w:sectPr w:rsidR="006E0EFD" w:rsidRPr="009D6EC8" w:rsidSect="00533288">
      <w:type w:val="continuous"/>
      <w:pgSz w:w="12240" w:h="15840" w:code="1"/>
      <w:pgMar w:top="720" w:right="1080" w:bottom="432"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B6CA8" w14:textId="77777777" w:rsidR="00530D3F" w:rsidRDefault="00530D3F" w:rsidP="00533120">
      <w:r>
        <w:separator/>
      </w:r>
    </w:p>
  </w:endnote>
  <w:endnote w:type="continuationSeparator" w:id="0">
    <w:p w14:paraId="314ABB87" w14:textId="77777777" w:rsidR="00530D3F" w:rsidRDefault="00530D3F"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C28A9" w14:textId="77777777" w:rsidR="00270415" w:rsidRDefault="00270415" w:rsidP="00C72BD9">
    <w:pPr>
      <w:pStyle w:val="Footer"/>
      <w:jc w:val="center"/>
    </w:pPr>
    <w:r>
      <w:fldChar w:fldCharType="begin"/>
    </w:r>
    <w:r>
      <w:instrText xml:space="preserve"> PAGE   \* MERGEFORMAT </w:instrText>
    </w:r>
    <w:r>
      <w:fldChar w:fldCharType="separate"/>
    </w:r>
    <w:r>
      <w:rPr>
        <w:noProof/>
      </w:rPr>
      <w:t>1</w:t>
    </w:r>
    <w:r>
      <w:fldChar w:fldCharType="end"/>
    </w:r>
  </w:p>
  <w:p w14:paraId="6D50C62A" w14:textId="77777777" w:rsidR="00270415" w:rsidRDefault="00270415">
    <w:pPr>
      <w:pStyle w:val="Footer"/>
    </w:pPr>
  </w:p>
  <w:p w14:paraId="4ECF333E" w14:textId="77777777" w:rsidR="00270415" w:rsidRDefault="0027041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5A71" w14:textId="1591B150" w:rsidR="005F7237" w:rsidRDefault="005F7237">
    <w:pPr>
      <w:pStyle w:val="Footer"/>
      <w:jc w:val="center"/>
    </w:pPr>
    <w:r>
      <w:fldChar w:fldCharType="begin"/>
    </w:r>
    <w:r>
      <w:instrText xml:space="preserve"> PAGE   \* MERGEFORMAT </w:instrText>
    </w:r>
    <w:r>
      <w:fldChar w:fldCharType="separate"/>
    </w:r>
    <w:r w:rsidR="00DD4751">
      <w:rPr>
        <w:noProof/>
      </w:rPr>
      <w:t>3</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8BCF1"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3B555A52" w14:textId="77777777" w:rsidR="005F7237" w:rsidRDefault="005F7237">
    <w:pPr>
      <w:pStyle w:val="Footer"/>
    </w:pPr>
  </w:p>
  <w:p w14:paraId="5476BD6D" w14:textId="77777777" w:rsidR="00203BDC" w:rsidRDefault="00203BD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85DE5" w14:textId="77777777" w:rsidR="00530D3F" w:rsidRDefault="00530D3F" w:rsidP="00533120">
      <w:r>
        <w:separator/>
      </w:r>
    </w:p>
  </w:footnote>
  <w:footnote w:type="continuationSeparator" w:id="0">
    <w:p w14:paraId="617DE1A6" w14:textId="77777777" w:rsidR="00530D3F" w:rsidRDefault="00530D3F" w:rsidP="005331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270415" w14:paraId="06E58983" w14:textId="77777777" w:rsidTr="00E47145">
      <w:tc>
        <w:tcPr>
          <w:tcW w:w="1278" w:type="dxa"/>
        </w:tcPr>
        <w:p w14:paraId="49EAFFEB" w14:textId="77777777" w:rsidR="00270415" w:rsidRPr="00EB5831" w:rsidRDefault="00270415" w:rsidP="00E47145">
          <w:pPr>
            <w:pStyle w:val="Header"/>
            <w:tabs>
              <w:tab w:val="clear" w:pos="4680"/>
              <w:tab w:val="clear" w:pos="9360"/>
            </w:tabs>
            <w:rPr>
              <w:lang w:val="en-US" w:eastAsia="en-US"/>
            </w:rPr>
          </w:pPr>
          <w:r>
            <w:rPr>
              <w:noProof/>
              <w:lang w:val="en-US" w:eastAsia="en-US"/>
            </w:rPr>
            <w:drawing>
              <wp:inline distT="0" distB="0" distL="0" distR="0" wp14:anchorId="202A7399" wp14:editId="17A18A3A">
                <wp:extent cx="669925" cy="478155"/>
                <wp:effectExtent l="0" t="0" r="0" b="0"/>
                <wp:docPr id="5" name="Picture 5"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5768A4EC" w14:textId="77777777" w:rsidR="00270415" w:rsidRPr="00A42E60" w:rsidRDefault="00270415" w:rsidP="00EB5831">
          <w:pPr>
            <w:rPr>
              <w:b/>
            </w:rPr>
          </w:pPr>
          <w:r w:rsidRPr="00A42E60">
            <w:rPr>
              <w:b/>
            </w:rPr>
            <w:t>Environment and Natural Resources Trust Fund (ENRTF)</w:t>
          </w:r>
        </w:p>
        <w:p w14:paraId="648BE7AB" w14:textId="77777777" w:rsidR="00270415" w:rsidRDefault="00270415" w:rsidP="00EB5831">
          <w:pPr>
            <w:pStyle w:val="Header"/>
            <w:rPr>
              <w:b/>
              <w:lang w:val="en-US" w:eastAsia="en-US"/>
            </w:rPr>
          </w:pPr>
          <w:r>
            <w:rPr>
              <w:b/>
              <w:lang w:val="en-US" w:eastAsia="en-US"/>
            </w:rPr>
            <w:t>2020</w:t>
          </w:r>
          <w:r w:rsidRPr="00EB5831">
            <w:rPr>
              <w:b/>
              <w:lang w:val="en-US" w:eastAsia="en-US"/>
            </w:rPr>
            <w:t xml:space="preserve"> Main Proposal</w:t>
          </w:r>
        </w:p>
        <w:p w14:paraId="66438793" w14:textId="77777777" w:rsidR="00270415" w:rsidRPr="00EB5831" w:rsidRDefault="00270415" w:rsidP="00EB5831">
          <w:pPr>
            <w:pStyle w:val="Header"/>
            <w:rPr>
              <w:b/>
              <w:lang w:val="en-US" w:eastAsia="en-US"/>
            </w:rPr>
          </w:pPr>
          <w:r>
            <w:rPr>
              <w:b/>
              <w:lang w:val="en-US" w:eastAsia="en-US"/>
            </w:rPr>
            <w:t>Pr</w:t>
          </w:r>
          <w:r w:rsidRPr="00237FCA">
            <w:rPr>
              <w:b/>
              <w:lang w:val="en-US" w:eastAsia="en-US"/>
            </w:rPr>
            <w:t>oject Title: County G</w:t>
          </w:r>
          <w:r>
            <w:rPr>
              <w:b/>
              <w:lang w:val="en-US" w:eastAsia="en-US"/>
            </w:rPr>
            <w:t>roundwater Atlas</w:t>
          </w:r>
        </w:p>
        <w:p w14:paraId="47B5074A" w14:textId="77777777" w:rsidR="00270415" w:rsidRPr="00EB5831" w:rsidRDefault="00270415" w:rsidP="00EB5831">
          <w:pPr>
            <w:pStyle w:val="Header"/>
            <w:rPr>
              <w:lang w:val="en-US" w:eastAsia="en-US"/>
            </w:rPr>
          </w:pPr>
        </w:p>
      </w:tc>
    </w:tr>
  </w:tbl>
  <w:p w14:paraId="2ED92216" w14:textId="77777777" w:rsidR="00270415" w:rsidRPr="00A42E60" w:rsidRDefault="00270415" w:rsidP="00A42E60">
    <w:pPr>
      <w:pStyle w:val="Heade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270415" w14:paraId="069787C2" w14:textId="77777777" w:rsidTr="00C660F0">
      <w:tc>
        <w:tcPr>
          <w:tcW w:w="1098" w:type="dxa"/>
        </w:tcPr>
        <w:p w14:paraId="51D7D692" w14:textId="77777777" w:rsidR="00270415" w:rsidRPr="00EB5831" w:rsidRDefault="00270415" w:rsidP="00C660F0">
          <w:pPr>
            <w:pStyle w:val="Header"/>
            <w:rPr>
              <w:lang w:val="en-US" w:eastAsia="en-US"/>
            </w:rPr>
          </w:pPr>
          <w:r>
            <w:rPr>
              <w:noProof/>
              <w:lang w:val="en-US" w:eastAsia="en-US"/>
            </w:rPr>
            <w:drawing>
              <wp:inline distT="0" distB="0" distL="0" distR="0" wp14:anchorId="2B409E26" wp14:editId="68FFF1CB">
                <wp:extent cx="669925" cy="478155"/>
                <wp:effectExtent l="0" t="0" r="0" b="0"/>
                <wp:docPr id="6" name="Picture 6"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604F8D7B" w14:textId="77777777" w:rsidR="00270415" w:rsidRPr="00A42E60" w:rsidRDefault="00270415" w:rsidP="00C660F0">
          <w:pPr>
            <w:rPr>
              <w:b/>
            </w:rPr>
          </w:pPr>
          <w:r w:rsidRPr="00A42E60">
            <w:rPr>
              <w:b/>
            </w:rPr>
            <w:t>Environment and Natural Resources Trust Fund (ENRTF)</w:t>
          </w:r>
        </w:p>
        <w:p w14:paraId="66F39DD8" w14:textId="77777777" w:rsidR="00270415" w:rsidRPr="00EB5831" w:rsidRDefault="00270415" w:rsidP="00806460">
          <w:pPr>
            <w:pStyle w:val="Header"/>
            <w:rPr>
              <w:b/>
              <w:lang w:val="en-US" w:eastAsia="en-US"/>
            </w:rPr>
          </w:pPr>
          <w:r w:rsidRPr="00EB5831">
            <w:rPr>
              <w:b/>
              <w:lang w:val="en-US" w:eastAsia="en-US"/>
            </w:rPr>
            <w:t>2014 Main Proposal</w:t>
          </w:r>
        </w:p>
        <w:p w14:paraId="2AFB5278" w14:textId="77777777" w:rsidR="00270415" w:rsidRPr="00EB5831" w:rsidRDefault="00270415"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7E3FDFDC" w14:textId="77777777" w:rsidR="00270415" w:rsidRPr="00F96203" w:rsidRDefault="00270415">
    <w:pPr>
      <w:pStyle w:val="Header"/>
      <w:rPr>
        <w:sz w:val="2"/>
        <w:szCs w:val="2"/>
      </w:rPr>
    </w:pPr>
  </w:p>
  <w:p w14:paraId="737BF893" w14:textId="77777777" w:rsidR="00270415" w:rsidRDefault="00270415"/>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5C5E70FA" w14:textId="77777777" w:rsidTr="00E47145">
      <w:tc>
        <w:tcPr>
          <w:tcW w:w="1278" w:type="dxa"/>
        </w:tcPr>
        <w:p w14:paraId="05725C4B"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49CEFE40" wp14:editId="24FCC1F5">
                <wp:extent cx="669925" cy="478155"/>
                <wp:effectExtent l="0" t="0" r="0" b="0"/>
                <wp:docPr id="13" name="Picture 13"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0F4B6172" w14:textId="77777777" w:rsidR="005F7237" w:rsidRPr="00A42E60" w:rsidRDefault="005F7237" w:rsidP="00EB5831">
          <w:pPr>
            <w:rPr>
              <w:b/>
            </w:rPr>
          </w:pPr>
          <w:r w:rsidRPr="00A42E60">
            <w:rPr>
              <w:b/>
            </w:rPr>
            <w:t>Environment and Natural Resources Trust Fund (ENRTF)</w:t>
          </w:r>
        </w:p>
        <w:p w14:paraId="59E60EBB" w14:textId="77777777" w:rsidR="00237FCA"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p>
        <w:p w14:paraId="6B594FFC" w14:textId="5B4DAB5E" w:rsidR="005F7237" w:rsidRPr="00EB5831" w:rsidRDefault="00237FCA" w:rsidP="00C47904">
          <w:pPr>
            <w:pStyle w:val="Header"/>
            <w:rPr>
              <w:lang w:val="en-US" w:eastAsia="en-US"/>
            </w:rPr>
          </w:pPr>
          <w:r>
            <w:rPr>
              <w:b/>
              <w:lang w:val="en-US" w:eastAsia="en-US"/>
            </w:rPr>
            <w:t>Pr</w:t>
          </w:r>
          <w:r w:rsidRPr="00237FCA">
            <w:rPr>
              <w:b/>
              <w:lang w:val="en-US" w:eastAsia="en-US"/>
            </w:rPr>
            <w:t>oject Title: County G</w:t>
          </w:r>
          <w:r>
            <w:rPr>
              <w:b/>
              <w:lang w:val="en-US" w:eastAsia="en-US"/>
            </w:rPr>
            <w:t>roundwater Atlas</w:t>
          </w:r>
        </w:p>
      </w:tc>
    </w:tr>
  </w:tbl>
  <w:p w14:paraId="2E211F88" w14:textId="77777777" w:rsidR="005F7237" w:rsidRPr="00A42E60" w:rsidRDefault="005F7237" w:rsidP="00A42E60">
    <w:pPr>
      <w:pStyle w:val="Header"/>
      <w:rPr>
        <w:sz w:val="2"/>
        <w:szCs w:val="2"/>
      </w:rPr>
    </w:pPr>
  </w:p>
  <w:p w14:paraId="47C36FC9" w14:textId="77777777" w:rsidR="00203BDC" w:rsidRDefault="00203BDC"/>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5E264B4D" w14:textId="77777777" w:rsidTr="00C660F0">
      <w:tc>
        <w:tcPr>
          <w:tcW w:w="1098" w:type="dxa"/>
        </w:tcPr>
        <w:p w14:paraId="04996E55" w14:textId="77777777" w:rsidR="005F7237" w:rsidRPr="00EB5831" w:rsidRDefault="009541C4" w:rsidP="00C660F0">
          <w:pPr>
            <w:pStyle w:val="Header"/>
            <w:rPr>
              <w:lang w:val="en-US" w:eastAsia="en-US"/>
            </w:rPr>
          </w:pPr>
          <w:r>
            <w:rPr>
              <w:noProof/>
              <w:lang w:val="en-US" w:eastAsia="en-US"/>
            </w:rPr>
            <w:drawing>
              <wp:inline distT="0" distB="0" distL="0" distR="0" wp14:anchorId="0FA98C47" wp14:editId="76774313">
                <wp:extent cx="669925" cy="478155"/>
                <wp:effectExtent l="0" t="0" r="0" b="0"/>
                <wp:docPr id="14" name="Picture 14"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0D2A6F33" w14:textId="77777777" w:rsidR="005F7237" w:rsidRPr="00A42E60" w:rsidRDefault="005F7237" w:rsidP="00C660F0">
          <w:pPr>
            <w:rPr>
              <w:b/>
            </w:rPr>
          </w:pPr>
          <w:r w:rsidRPr="00A42E60">
            <w:rPr>
              <w:b/>
            </w:rPr>
            <w:t>Environment and Natural Resources Trust Fund (ENRTF)</w:t>
          </w:r>
        </w:p>
        <w:p w14:paraId="2FF8B379" w14:textId="77777777" w:rsidR="005F7237" w:rsidRPr="00EB5831" w:rsidRDefault="005F7237" w:rsidP="00806460">
          <w:pPr>
            <w:pStyle w:val="Header"/>
            <w:rPr>
              <w:b/>
              <w:lang w:val="en-US" w:eastAsia="en-US"/>
            </w:rPr>
          </w:pPr>
          <w:r w:rsidRPr="00EB5831">
            <w:rPr>
              <w:b/>
              <w:lang w:val="en-US" w:eastAsia="en-US"/>
            </w:rPr>
            <w:t>2014 Main Proposal</w:t>
          </w:r>
        </w:p>
        <w:p w14:paraId="7309E86B"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7E23C1AE" w14:textId="77777777" w:rsidR="005F7237" w:rsidRPr="00F96203" w:rsidRDefault="005F7237">
    <w:pPr>
      <w:pStyle w:val="Header"/>
      <w:rPr>
        <w:sz w:val="2"/>
        <w:szCs w:val="2"/>
      </w:rPr>
    </w:pPr>
  </w:p>
  <w:p w14:paraId="3CCA21F4" w14:textId="77777777" w:rsidR="00203BDC" w:rsidRDefault="00203BD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6907B3D"/>
    <w:multiLevelType w:val="hybridMultilevel"/>
    <w:tmpl w:val="3182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5D5427AD"/>
    <w:multiLevelType w:val="hybridMultilevel"/>
    <w:tmpl w:val="A89E3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67B60414"/>
    <w:multiLevelType w:val="hybridMultilevel"/>
    <w:tmpl w:val="4AD89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5"/>
  </w:num>
  <w:num w:numId="5">
    <w:abstractNumId w:val="12"/>
  </w:num>
  <w:num w:numId="6">
    <w:abstractNumId w:val="2"/>
  </w:num>
  <w:num w:numId="7">
    <w:abstractNumId w:val="7"/>
  </w:num>
  <w:num w:numId="8">
    <w:abstractNumId w:val="3"/>
  </w:num>
  <w:num w:numId="9">
    <w:abstractNumId w:val="11"/>
  </w:num>
  <w:num w:numId="10">
    <w:abstractNumId w:val="9"/>
  </w:num>
  <w:num w:numId="11">
    <w:abstractNumId w:val="1"/>
  </w:num>
  <w:num w:numId="12">
    <w:abstractNumId w:val="13"/>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606AD"/>
    <w:rsid w:val="00061EF5"/>
    <w:rsid w:val="00062497"/>
    <w:rsid w:val="00065366"/>
    <w:rsid w:val="00073C96"/>
    <w:rsid w:val="000B34BA"/>
    <w:rsid w:val="000C3EF3"/>
    <w:rsid w:val="000D7F31"/>
    <w:rsid w:val="000E66CB"/>
    <w:rsid w:val="000F5F45"/>
    <w:rsid w:val="00100A34"/>
    <w:rsid w:val="00107495"/>
    <w:rsid w:val="001225BC"/>
    <w:rsid w:val="00146691"/>
    <w:rsid w:val="00165716"/>
    <w:rsid w:val="0018005E"/>
    <w:rsid w:val="00186FCC"/>
    <w:rsid w:val="001B0368"/>
    <w:rsid w:val="001E42AC"/>
    <w:rsid w:val="001F7C41"/>
    <w:rsid w:val="00203BDC"/>
    <w:rsid w:val="002159DD"/>
    <w:rsid w:val="00217C2A"/>
    <w:rsid w:val="00237FCA"/>
    <w:rsid w:val="00270415"/>
    <w:rsid w:val="00290E4E"/>
    <w:rsid w:val="0029726A"/>
    <w:rsid w:val="002B469A"/>
    <w:rsid w:val="003205A7"/>
    <w:rsid w:val="003239FE"/>
    <w:rsid w:val="00347E7A"/>
    <w:rsid w:val="00351EA6"/>
    <w:rsid w:val="00354888"/>
    <w:rsid w:val="00355783"/>
    <w:rsid w:val="003578A0"/>
    <w:rsid w:val="0037310D"/>
    <w:rsid w:val="0039481E"/>
    <w:rsid w:val="003B77C9"/>
    <w:rsid w:val="003D3D23"/>
    <w:rsid w:val="003F32CA"/>
    <w:rsid w:val="00404B9C"/>
    <w:rsid w:val="00432EAF"/>
    <w:rsid w:val="004357AE"/>
    <w:rsid w:val="00443203"/>
    <w:rsid w:val="004530F7"/>
    <w:rsid w:val="00454495"/>
    <w:rsid w:val="00487D08"/>
    <w:rsid w:val="0049103C"/>
    <w:rsid w:val="004A43B9"/>
    <w:rsid w:val="004A4BE4"/>
    <w:rsid w:val="004B2305"/>
    <w:rsid w:val="004E6113"/>
    <w:rsid w:val="004E69E8"/>
    <w:rsid w:val="00530D3F"/>
    <w:rsid w:val="00533120"/>
    <w:rsid w:val="00533288"/>
    <w:rsid w:val="00536CD5"/>
    <w:rsid w:val="005431D4"/>
    <w:rsid w:val="00544C49"/>
    <w:rsid w:val="00550B29"/>
    <w:rsid w:val="005648A9"/>
    <w:rsid w:val="00585A0E"/>
    <w:rsid w:val="005A1D00"/>
    <w:rsid w:val="005A4FB1"/>
    <w:rsid w:val="005F0DBA"/>
    <w:rsid w:val="005F1006"/>
    <w:rsid w:val="005F7237"/>
    <w:rsid w:val="00600D4F"/>
    <w:rsid w:val="00602068"/>
    <w:rsid w:val="00607B08"/>
    <w:rsid w:val="00614DF2"/>
    <w:rsid w:val="00635281"/>
    <w:rsid w:val="00640A9A"/>
    <w:rsid w:val="006562F0"/>
    <w:rsid w:val="00686B53"/>
    <w:rsid w:val="006E0EFD"/>
    <w:rsid w:val="006F7F24"/>
    <w:rsid w:val="00721661"/>
    <w:rsid w:val="00731A65"/>
    <w:rsid w:val="007936A9"/>
    <w:rsid w:val="007B284F"/>
    <w:rsid w:val="007B28EE"/>
    <w:rsid w:val="007B3535"/>
    <w:rsid w:val="007E44F6"/>
    <w:rsid w:val="007E6564"/>
    <w:rsid w:val="00806460"/>
    <w:rsid w:val="008076FB"/>
    <w:rsid w:val="008949EE"/>
    <w:rsid w:val="008A088E"/>
    <w:rsid w:val="008A4498"/>
    <w:rsid w:val="008A5FD9"/>
    <w:rsid w:val="008C3FA4"/>
    <w:rsid w:val="008C7FC0"/>
    <w:rsid w:val="008D2242"/>
    <w:rsid w:val="00910DB8"/>
    <w:rsid w:val="00912C65"/>
    <w:rsid w:val="00927C73"/>
    <w:rsid w:val="009541C4"/>
    <w:rsid w:val="009A49DE"/>
    <w:rsid w:val="009B6749"/>
    <w:rsid w:val="009C4875"/>
    <w:rsid w:val="009D0E57"/>
    <w:rsid w:val="009D14B4"/>
    <w:rsid w:val="009D6EC8"/>
    <w:rsid w:val="00A03E0A"/>
    <w:rsid w:val="00A13F26"/>
    <w:rsid w:val="00A42E60"/>
    <w:rsid w:val="00A45A41"/>
    <w:rsid w:val="00A56668"/>
    <w:rsid w:val="00A7257F"/>
    <w:rsid w:val="00A73B75"/>
    <w:rsid w:val="00A94EDC"/>
    <w:rsid w:val="00AB6CFF"/>
    <w:rsid w:val="00AC2C07"/>
    <w:rsid w:val="00AC2CDE"/>
    <w:rsid w:val="00AD3337"/>
    <w:rsid w:val="00B07258"/>
    <w:rsid w:val="00B55E09"/>
    <w:rsid w:val="00B728BF"/>
    <w:rsid w:val="00B8369A"/>
    <w:rsid w:val="00B86A22"/>
    <w:rsid w:val="00BB6F56"/>
    <w:rsid w:val="00BC28A6"/>
    <w:rsid w:val="00BE21B0"/>
    <w:rsid w:val="00C02DAD"/>
    <w:rsid w:val="00C32554"/>
    <w:rsid w:val="00C47904"/>
    <w:rsid w:val="00C660F0"/>
    <w:rsid w:val="00C72BD9"/>
    <w:rsid w:val="00C82CD3"/>
    <w:rsid w:val="00C85E92"/>
    <w:rsid w:val="00C952E4"/>
    <w:rsid w:val="00CA0E07"/>
    <w:rsid w:val="00CB652D"/>
    <w:rsid w:val="00CE20AC"/>
    <w:rsid w:val="00CF3409"/>
    <w:rsid w:val="00D02E23"/>
    <w:rsid w:val="00D121DD"/>
    <w:rsid w:val="00D25619"/>
    <w:rsid w:val="00D32CFB"/>
    <w:rsid w:val="00D95F35"/>
    <w:rsid w:val="00DD4751"/>
    <w:rsid w:val="00E10FCC"/>
    <w:rsid w:val="00E47145"/>
    <w:rsid w:val="00E5279E"/>
    <w:rsid w:val="00E619C4"/>
    <w:rsid w:val="00E76D57"/>
    <w:rsid w:val="00E91B1F"/>
    <w:rsid w:val="00EB5831"/>
    <w:rsid w:val="00EE4F4A"/>
    <w:rsid w:val="00EF7EBD"/>
    <w:rsid w:val="00F01234"/>
    <w:rsid w:val="00F42507"/>
    <w:rsid w:val="00F4584E"/>
    <w:rsid w:val="00F70DE4"/>
    <w:rsid w:val="00F9232B"/>
    <w:rsid w:val="00F92864"/>
    <w:rsid w:val="00F96203"/>
    <w:rsid w:val="00F97C94"/>
    <w:rsid w:val="00FA6282"/>
    <w:rsid w:val="00FF1689"/>
    <w:rsid w:val="00FF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3DD9C8"/>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585A0E"/>
    <w:rPr>
      <w:sz w:val="16"/>
      <w:szCs w:val="16"/>
    </w:rPr>
  </w:style>
  <w:style w:type="paragraph" w:styleId="CommentText">
    <w:name w:val="annotation text"/>
    <w:basedOn w:val="Normal"/>
    <w:link w:val="CommentTextChar"/>
    <w:uiPriority w:val="99"/>
    <w:semiHidden/>
    <w:unhideWhenUsed/>
    <w:rsid w:val="00585A0E"/>
    <w:rPr>
      <w:sz w:val="20"/>
      <w:szCs w:val="20"/>
    </w:rPr>
  </w:style>
  <w:style w:type="character" w:customStyle="1" w:styleId="CommentTextChar">
    <w:name w:val="Comment Text Char"/>
    <w:basedOn w:val="DefaultParagraphFont"/>
    <w:link w:val="CommentText"/>
    <w:uiPriority w:val="99"/>
    <w:semiHidden/>
    <w:rsid w:val="00585A0E"/>
  </w:style>
  <w:style w:type="paragraph" w:styleId="CommentSubject">
    <w:name w:val="annotation subject"/>
    <w:basedOn w:val="CommentText"/>
    <w:next w:val="CommentText"/>
    <w:link w:val="CommentSubjectChar"/>
    <w:uiPriority w:val="99"/>
    <w:semiHidden/>
    <w:unhideWhenUsed/>
    <w:rsid w:val="00585A0E"/>
    <w:rPr>
      <w:b/>
      <w:bCs/>
    </w:rPr>
  </w:style>
  <w:style w:type="character" w:customStyle="1" w:styleId="CommentSubjectChar">
    <w:name w:val="Comment Subject Char"/>
    <w:basedOn w:val="CommentTextChar"/>
    <w:link w:val="CommentSubject"/>
    <w:uiPriority w:val="99"/>
    <w:semiHidden/>
    <w:rsid w:val="00585A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768A5-5928-442D-914B-AD8FC6A1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Becca Nash</cp:lastModifiedBy>
  <cp:revision>4</cp:revision>
  <cp:lastPrinted>2019-04-09T20:52:00Z</cp:lastPrinted>
  <dcterms:created xsi:type="dcterms:W3CDTF">2019-04-30T21:43:00Z</dcterms:created>
  <dcterms:modified xsi:type="dcterms:W3CDTF">2019-04-30T22:01:00Z</dcterms:modified>
</cp:coreProperties>
</file>