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Default="005A4FB1" w:rsidP="005A4FB1">
      <w:pPr>
        <w:jc w:val="center"/>
        <w:rPr>
          <w:rFonts w:cs="Arial"/>
          <w:i/>
        </w:rPr>
      </w:pPr>
    </w:p>
    <w:p w:rsidR="006E0EFD" w:rsidRPr="005A4FB1" w:rsidRDefault="006E0EFD" w:rsidP="00911B93">
      <w:pPr>
        <w:rPr>
          <w:rFonts w:cs="Arial"/>
          <w:i/>
        </w:rPr>
      </w:pPr>
      <w:r w:rsidRPr="009D6EC8">
        <w:rPr>
          <w:rFonts w:cs="Arial"/>
          <w:b/>
        </w:rPr>
        <w:t>PROJECT TITLE:</w:t>
      </w:r>
      <w:r w:rsidR="00911B93">
        <w:rPr>
          <w:rFonts w:cs="Arial"/>
          <w:b/>
        </w:rPr>
        <w:t xml:space="preserve"> Geologic Atlases for Water Resource Management</w:t>
      </w:r>
    </w:p>
    <w:p w:rsidR="006E0EFD" w:rsidRPr="009D6EC8" w:rsidRDefault="006E0EFD" w:rsidP="00911B93">
      <w:pPr>
        <w:rPr>
          <w:rFonts w:cs="Arial"/>
        </w:rPr>
      </w:pPr>
    </w:p>
    <w:p w:rsidR="006E0EFD" w:rsidRPr="00911B93" w:rsidRDefault="00911B93" w:rsidP="00911B93">
      <w:pPr>
        <w:ind w:left="-360" w:firstLine="360"/>
        <w:rPr>
          <w:rFonts w:cs="Arial"/>
          <w:b/>
        </w:rPr>
      </w:pPr>
      <w:r w:rsidRPr="00911B93">
        <w:rPr>
          <w:rFonts w:cs="Arial"/>
          <w:b/>
        </w:rPr>
        <w:t xml:space="preserve">1. </w:t>
      </w:r>
      <w:r w:rsidR="006E0EFD" w:rsidRPr="00911B93">
        <w:rPr>
          <w:rFonts w:cs="Arial"/>
          <w:b/>
        </w:rPr>
        <w:t>PROJECT STATEMENT</w:t>
      </w:r>
    </w:p>
    <w:p w:rsidR="00911B93" w:rsidRPr="00911B93" w:rsidRDefault="00911B93" w:rsidP="00911B93">
      <w:pPr>
        <w:jc w:val="both"/>
        <w:rPr>
          <w:rFonts w:ascii="Arial" w:hAnsi="Arial" w:cs="Arial"/>
        </w:rPr>
      </w:pPr>
      <w:r w:rsidRPr="00911B93">
        <w:rPr>
          <w:rFonts w:ascii="Arial" w:hAnsi="Arial" w:cs="Arial"/>
        </w:rPr>
        <w:t xml:space="preserve">Geologic atlases provide maps and databases essential for improved management of ground and surface water.  This is foundational data that supports management of drinking water, domestic and industrial supply, irrigation, and aquatic habitat.  </w:t>
      </w:r>
      <w:r w:rsidRPr="00911B93">
        <w:rPr>
          <w:rFonts w:ascii="Arial" w:hAnsi="Arial" w:cs="Arial"/>
          <w:bCs/>
        </w:rPr>
        <w:t xml:space="preserve">County Geologic Atlases are specifically identified as essential data in the Statewide Conservation Plan, and in the efforts of the Environmental Quality Board, DNR Eco-Waters, and the Water Resources Center at the University of Minnesota to design a sustainable water management process. </w:t>
      </w:r>
      <w:r w:rsidRPr="00911B93">
        <w:rPr>
          <w:rFonts w:ascii="Arial" w:hAnsi="Arial" w:cs="Arial"/>
        </w:rPr>
        <w:t>The distribution of geologic materials defines aquifer boundaries and the connection of aquifers to the land surface and to surface water resources to enable a comprehensive water management effort.  This proposal will complete current projects and start new projects to equal about 10 complete atlases.</w:t>
      </w:r>
    </w:p>
    <w:p w:rsidR="00911B93" w:rsidRPr="00911B93" w:rsidRDefault="00911B93" w:rsidP="00911B93">
      <w:pPr>
        <w:jc w:val="both"/>
        <w:rPr>
          <w:rFonts w:ascii="Arial" w:hAnsi="Arial" w:cs="Arial"/>
        </w:rPr>
      </w:pPr>
    </w:p>
    <w:p w:rsidR="00E37684" w:rsidRDefault="00923C0A" w:rsidP="00E37684">
      <w:pPr>
        <w:jc w:val="both"/>
        <w:rPr>
          <w:rFonts w:ascii="Arial" w:hAnsi="Arial" w:cs="Arial"/>
          <w:bCs/>
        </w:rPr>
      </w:pPr>
      <w:r w:rsidRPr="000C6292">
        <w:rPr>
          <w:rFonts w:ascii="Arial" w:hAnsi="Arial" w:cs="Arial"/>
          <w:bCs/>
        </w:rPr>
        <w:t>Atlases are complete or under</w:t>
      </w:r>
      <w:r>
        <w:rPr>
          <w:rFonts w:ascii="Arial" w:hAnsi="Arial" w:cs="Arial"/>
          <w:bCs/>
        </w:rPr>
        <w:t>way</w:t>
      </w:r>
      <w:r w:rsidRPr="000C6292">
        <w:rPr>
          <w:rFonts w:ascii="Arial" w:hAnsi="Arial" w:cs="Arial"/>
          <w:bCs/>
        </w:rPr>
        <w:t xml:space="preserve"> for </w:t>
      </w:r>
      <w:r w:rsidRPr="007002DE">
        <w:rPr>
          <w:rFonts w:ascii="Arial" w:hAnsi="Arial" w:cs="Arial"/>
          <w:bCs/>
        </w:rPr>
        <w:t>5</w:t>
      </w:r>
      <w:r w:rsidR="00EE014C">
        <w:rPr>
          <w:rFonts w:ascii="Arial" w:hAnsi="Arial" w:cs="Arial"/>
          <w:bCs/>
        </w:rPr>
        <w:t>7</w:t>
      </w:r>
      <w:r w:rsidRPr="000C6292">
        <w:rPr>
          <w:rFonts w:ascii="Arial" w:hAnsi="Arial" w:cs="Arial"/>
          <w:bCs/>
        </w:rPr>
        <w:t xml:space="preserve"> of the 87 counties in Minnesota</w:t>
      </w:r>
      <w:r w:rsidR="00A75791">
        <w:rPr>
          <w:rFonts w:ascii="Arial" w:hAnsi="Arial" w:cs="Arial"/>
          <w:bCs/>
        </w:rPr>
        <w:t xml:space="preserve"> with </w:t>
      </w:r>
      <w:r w:rsidR="00E37684">
        <w:rPr>
          <w:rFonts w:ascii="Arial" w:hAnsi="Arial" w:cs="Arial"/>
          <w:bCs/>
        </w:rPr>
        <w:t>recent starts</w:t>
      </w:r>
      <w:r w:rsidR="00A75791">
        <w:rPr>
          <w:rFonts w:ascii="Arial" w:hAnsi="Arial" w:cs="Arial"/>
          <w:bCs/>
        </w:rPr>
        <w:t xml:space="preserve"> in Cook, Yellow Medicine, and </w:t>
      </w:r>
      <w:r w:rsidR="00E37684">
        <w:rPr>
          <w:rFonts w:ascii="Arial" w:hAnsi="Arial" w:cs="Arial"/>
          <w:bCs/>
        </w:rPr>
        <w:t>Red Lake</w:t>
      </w:r>
      <w:r w:rsidR="00A75791">
        <w:rPr>
          <w:rFonts w:ascii="Arial" w:hAnsi="Arial" w:cs="Arial"/>
          <w:bCs/>
        </w:rPr>
        <w:t xml:space="preserve"> counties</w:t>
      </w:r>
      <w:r w:rsidRPr="000C6292">
        <w:rPr>
          <w:rFonts w:ascii="Arial" w:hAnsi="Arial" w:cs="Arial"/>
          <w:bCs/>
        </w:rPr>
        <w:t>.</w:t>
      </w:r>
      <w:r w:rsidR="00A75791">
        <w:rPr>
          <w:rFonts w:ascii="Arial" w:hAnsi="Arial" w:cs="Arial"/>
          <w:bCs/>
        </w:rPr>
        <w:t xml:space="preserve"> </w:t>
      </w:r>
      <w:r w:rsidR="00911B93" w:rsidRPr="00911B93">
        <w:rPr>
          <w:rFonts w:ascii="Arial" w:hAnsi="Arial" w:cs="Arial"/>
          <w:bCs/>
        </w:rPr>
        <w:t xml:space="preserve">This project continues an effort to </w:t>
      </w:r>
      <w:r>
        <w:rPr>
          <w:rFonts w:ascii="Arial" w:hAnsi="Arial" w:cs="Arial"/>
          <w:bCs/>
        </w:rPr>
        <w:t>complete</w:t>
      </w:r>
      <w:r w:rsidR="00911B93" w:rsidRPr="00911B93">
        <w:rPr>
          <w:rFonts w:ascii="Arial" w:hAnsi="Arial" w:cs="Arial"/>
          <w:bCs/>
        </w:rPr>
        <w:t xml:space="preserve"> county geologic atlas coverage statewide.  The current spending rate of about $2 million per year (all sources) would allow about 5 or 6 new starts each year</w:t>
      </w:r>
      <w:r w:rsidR="00E37684">
        <w:rPr>
          <w:rFonts w:ascii="Arial" w:hAnsi="Arial" w:cs="Arial"/>
          <w:bCs/>
        </w:rPr>
        <w:t>, covering the entire state in about 7 years</w:t>
      </w:r>
      <w:r w:rsidR="00911B93" w:rsidRPr="00911B93">
        <w:rPr>
          <w:rFonts w:ascii="Arial" w:hAnsi="Arial" w:cs="Arial"/>
          <w:bCs/>
        </w:rPr>
        <w:t>.  Local participation is a primary factor in determining which counties are chosen for this work, while ground water sensitivity, water demand, and the size of the population served are also considerations.  The counties are required to provide funds or in-kind service.  Funds from this proposal are most likely to be applied to projects in south</w:t>
      </w:r>
      <w:r w:rsidR="00A75791">
        <w:rPr>
          <w:rFonts w:ascii="Arial" w:hAnsi="Arial" w:cs="Arial"/>
          <w:bCs/>
        </w:rPr>
        <w:t>ern</w:t>
      </w:r>
      <w:r w:rsidR="00911B93" w:rsidRPr="00911B93">
        <w:rPr>
          <w:rFonts w:ascii="Arial" w:hAnsi="Arial" w:cs="Arial"/>
          <w:bCs/>
        </w:rPr>
        <w:t>, west-central, and northern Minnesota.  Based on the factors listed above, potential counties include, but are not limited to:</w:t>
      </w:r>
    </w:p>
    <w:p w:rsidR="00E37684" w:rsidRDefault="00E37684" w:rsidP="00E37684">
      <w:pPr>
        <w:ind w:firstLine="720"/>
        <w:jc w:val="both"/>
        <w:rPr>
          <w:rFonts w:ascii="Arial" w:hAnsi="Arial" w:cs="Arial"/>
          <w:bCs/>
        </w:rPr>
      </w:pPr>
      <w:r>
        <w:rPr>
          <w:rFonts w:ascii="Arial" w:hAnsi="Arial" w:cs="Arial"/>
          <w:bCs/>
        </w:rPr>
        <w:t xml:space="preserve"> </w:t>
      </w:r>
      <w:r w:rsidRPr="00911B93">
        <w:rPr>
          <w:rFonts w:ascii="Arial" w:hAnsi="Arial" w:cs="Arial"/>
          <w:bCs/>
        </w:rPr>
        <w:t>•</w:t>
      </w:r>
      <w:proofErr w:type="spellStart"/>
      <w:r w:rsidRPr="00911B93">
        <w:rPr>
          <w:rFonts w:ascii="Arial" w:hAnsi="Arial" w:cs="Arial"/>
          <w:bCs/>
        </w:rPr>
        <w:t>LeSueur</w:t>
      </w:r>
      <w:proofErr w:type="spellEnd"/>
      <w:r>
        <w:rPr>
          <w:rFonts w:ascii="Arial" w:hAnsi="Arial" w:cs="Arial"/>
          <w:bCs/>
        </w:rPr>
        <w:t xml:space="preserve">     </w:t>
      </w:r>
      <w:r w:rsidRPr="00911B93">
        <w:rPr>
          <w:rFonts w:ascii="Arial" w:hAnsi="Arial" w:cs="Arial"/>
          <w:bCs/>
        </w:rPr>
        <w:t>•</w:t>
      </w:r>
      <w:r>
        <w:rPr>
          <w:rFonts w:ascii="Arial" w:hAnsi="Arial" w:cs="Arial"/>
          <w:bCs/>
        </w:rPr>
        <w:t xml:space="preserve">Waseca    </w:t>
      </w:r>
      <w:r w:rsidRPr="00911B93">
        <w:rPr>
          <w:rFonts w:ascii="Arial" w:hAnsi="Arial" w:cs="Arial"/>
          <w:bCs/>
        </w:rPr>
        <w:t>•</w:t>
      </w:r>
      <w:r>
        <w:rPr>
          <w:rFonts w:ascii="Arial" w:hAnsi="Arial" w:cs="Arial"/>
          <w:bCs/>
        </w:rPr>
        <w:t>Freeborn</w:t>
      </w:r>
      <w:r w:rsidR="007002DE">
        <w:rPr>
          <w:rFonts w:ascii="Arial" w:hAnsi="Arial" w:cs="Arial"/>
          <w:bCs/>
        </w:rPr>
        <w:t xml:space="preserve"> </w:t>
      </w:r>
      <w:r>
        <w:rPr>
          <w:rFonts w:ascii="Arial" w:hAnsi="Arial" w:cs="Arial"/>
          <w:bCs/>
        </w:rPr>
        <w:t xml:space="preserve">                         </w:t>
      </w:r>
      <w:r w:rsidR="00911B93" w:rsidRPr="00911B93">
        <w:rPr>
          <w:rFonts w:ascii="Arial" w:hAnsi="Arial" w:cs="Arial"/>
          <w:bCs/>
        </w:rPr>
        <w:t>•</w:t>
      </w:r>
      <w:r w:rsidR="00923C0A">
        <w:rPr>
          <w:rFonts w:ascii="Arial" w:hAnsi="Arial" w:cs="Arial"/>
          <w:bCs/>
        </w:rPr>
        <w:t>G</w:t>
      </w:r>
      <w:r>
        <w:rPr>
          <w:rFonts w:ascii="Arial" w:hAnsi="Arial" w:cs="Arial"/>
          <w:bCs/>
        </w:rPr>
        <w:t xml:space="preserve">rant     </w:t>
      </w:r>
      <w:r w:rsidRPr="00911B93">
        <w:rPr>
          <w:rFonts w:ascii="Arial" w:hAnsi="Arial" w:cs="Arial"/>
          <w:bCs/>
        </w:rPr>
        <w:t>•</w:t>
      </w:r>
      <w:r>
        <w:rPr>
          <w:rFonts w:ascii="Arial" w:hAnsi="Arial" w:cs="Arial"/>
          <w:bCs/>
        </w:rPr>
        <w:t xml:space="preserve">Douglas    </w:t>
      </w:r>
      <w:r w:rsidR="00911B93" w:rsidRPr="00911B93">
        <w:rPr>
          <w:rFonts w:ascii="Arial" w:hAnsi="Arial" w:cs="Arial"/>
          <w:bCs/>
        </w:rPr>
        <w:t>•</w:t>
      </w:r>
      <w:r>
        <w:rPr>
          <w:rFonts w:ascii="Arial" w:hAnsi="Arial" w:cs="Arial"/>
          <w:bCs/>
        </w:rPr>
        <w:t>Stevens</w:t>
      </w:r>
      <w:r>
        <w:rPr>
          <w:rFonts w:ascii="Arial" w:hAnsi="Arial" w:cs="Arial"/>
          <w:bCs/>
        </w:rPr>
        <w:tab/>
      </w:r>
      <w:r>
        <w:rPr>
          <w:rFonts w:ascii="Arial" w:hAnsi="Arial" w:cs="Arial"/>
          <w:bCs/>
        </w:rPr>
        <w:tab/>
        <w:t xml:space="preserve">                                        </w:t>
      </w:r>
    </w:p>
    <w:p w:rsidR="00E37684" w:rsidRDefault="00E37684" w:rsidP="00E37684">
      <w:pPr>
        <w:ind w:firstLine="720"/>
        <w:jc w:val="both"/>
        <w:rPr>
          <w:rFonts w:ascii="Arial" w:hAnsi="Arial" w:cs="Arial"/>
          <w:bCs/>
        </w:rPr>
      </w:pPr>
      <w:r>
        <w:rPr>
          <w:rFonts w:ascii="Arial" w:hAnsi="Arial" w:cs="Arial"/>
          <w:bCs/>
        </w:rPr>
        <w:t xml:space="preserve">                                          </w:t>
      </w:r>
      <w:r w:rsidR="00911B93" w:rsidRPr="00911B93">
        <w:rPr>
          <w:rFonts w:ascii="Arial" w:hAnsi="Arial" w:cs="Arial"/>
          <w:bCs/>
        </w:rPr>
        <w:t>•</w:t>
      </w:r>
      <w:r w:rsidR="00923C0A">
        <w:rPr>
          <w:rFonts w:ascii="Arial" w:hAnsi="Arial" w:cs="Arial"/>
          <w:bCs/>
        </w:rPr>
        <w:t>Beltrami</w:t>
      </w:r>
      <w:r>
        <w:rPr>
          <w:rFonts w:ascii="Arial" w:hAnsi="Arial" w:cs="Arial"/>
          <w:bCs/>
        </w:rPr>
        <w:t xml:space="preserve">    </w:t>
      </w:r>
      <w:r w:rsidRPr="00911B93">
        <w:rPr>
          <w:rFonts w:ascii="Arial" w:hAnsi="Arial" w:cs="Arial"/>
          <w:bCs/>
        </w:rPr>
        <w:t>•</w:t>
      </w:r>
      <w:r>
        <w:rPr>
          <w:rFonts w:ascii="Arial" w:hAnsi="Arial" w:cs="Arial"/>
          <w:bCs/>
        </w:rPr>
        <w:t xml:space="preserve">Itasca    </w:t>
      </w:r>
      <w:r w:rsidR="00911B93" w:rsidRPr="00911B93">
        <w:rPr>
          <w:rFonts w:ascii="Arial" w:hAnsi="Arial" w:cs="Arial"/>
          <w:bCs/>
        </w:rPr>
        <w:t>•</w:t>
      </w:r>
      <w:r w:rsidR="00A75791">
        <w:rPr>
          <w:rFonts w:ascii="Arial" w:hAnsi="Arial" w:cs="Arial"/>
          <w:bCs/>
        </w:rPr>
        <w:t>Clearwater</w:t>
      </w:r>
      <w:r w:rsidR="00911B93" w:rsidRPr="00911B93">
        <w:rPr>
          <w:rFonts w:ascii="Arial" w:hAnsi="Arial" w:cs="Arial"/>
          <w:bCs/>
        </w:rPr>
        <w:tab/>
      </w:r>
    </w:p>
    <w:p w:rsidR="00911B93" w:rsidRPr="00E37684" w:rsidRDefault="00E37684" w:rsidP="00E37684">
      <w:pPr>
        <w:tabs>
          <w:tab w:val="left" w:pos="4320"/>
          <w:tab w:val="left" w:pos="6480"/>
          <w:tab w:val="left" w:pos="8640"/>
        </w:tabs>
        <w:jc w:val="both"/>
        <w:rPr>
          <w:rFonts w:ascii="Arial" w:hAnsi="Arial" w:cs="Arial"/>
          <w:bCs/>
        </w:rPr>
      </w:pPr>
      <w:r>
        <w:rPr>
          <w:rFonts w:ascii="Arial" w:hAnsi="Arial" w:cs="Arial"/>
          <w:bCs/>
        </w:rPr>
        <w:t xml:space="preserve">                                        </w:t>
      </w:r>
    </w:p>
    <w:p w:rsidR="00911B93" w:rsidRPr="00911B93" w:rsidRDefault="00911B93" w:rsidP="00911B93">
      <w:pPr>
        <w:jc w:val="both"/>
        <w:rPr>
          <w:rFonts w:ascii="Arial" w:hAnsi="Arial" w:cs="Arial"/>
          <w:bCs/>
        </w:rPr>
      </w:pPr>
      <w:r w:rsidRPr="00911B93">
        <w:rPr>
          <w:rFonts w:ascii="Arial" w:hAnsi="Arial" w:cs="Arial"/>
        </w:rPr>
        <w:t xml:space="preserve">A complete geologic atlas consists of Part A constructed by the Minnesota Geological Survey (MGS) and focused on geology and the County Well Index, and Part B constructed by the DNR Eco-Waters Division (funded separately) and focused on </w:t>
      </w:r>
      <w:r w:rsidR="009C69EB">
        <w:rPr>
          <w:rFonts w:ascii="Arial" w:hAnsi="Arial" w:cs="Arial"/>
        </w:rPr>
        <w:t>groundwater</w:t>
      </w:r>
      <w:r w:rsidRPr="00911B93">
        <w:rPr>
          <w:rFonts w:ascii="Arial" w:hAnsi="Arial" w:cs="Arial"/>
        </w:rPr>
        <w:t xml:space="preserve">.  Atlases enhance natural resource management and regulation, and facilitate wise use of water resources.  </w:t>
      </w:r>
      <w:r w:rsidRPr="00911B93">
        <w:rPr>
          <w:rFonts w:ascii="Arial" w:hAnsi="Arial" w:cs="Arial"/>
          <w:bCs/>
        </w:rPr>
        <w:t xml:space="preserve">They support: permitting, land use planning, wellhead protection, remediation, nutrient management, monitoring, modeling, and well construction.  Atlas information is used by citizens, local government, counties, and state agencies (SWCDs, MDH, DNR, MPCA, </w:t>
      </w:r>
      <w:proofErr w:type="gramStart"/>
      <w:r w:rsidRPr="00911B93">
        <w:rPr>
          <w:rFonts w:ascii="Arial" w:hAnsi="Arial" w:cs="Arial"/>
          <w:bCs/>
        </w:rPr>
        <w:t>Ag</w:t>
      </w:r>
      <w:proofErr w:type="gramEnd"/>
      <w:r w:rsidRPr="00911B93">
        <w:rPr>
          <w:rFonts w:ascii="Arial" w:hAnsi="Arial" w:cs="Arial"/>
          <w:bCs/>
        </w:rPr>
        <w:t>).  The atlases document current water levels and quality so that changes in the water system can be recognized and evaluated.  A User’s Guide to geologic atlases strives to make the products accessible to users of all backgrounds.</w:t>
      </w:r>
    </w:p>
    <w:p w:rsidR="008D2242" w:rsidRPr="009D6EC8" w:rsidRDefault="008D2242" w:rsidP="00911B93">
      <w:pPr>
        <w:rPr>
          <w:rFonts w:cs="Arial"/>
        </w:rPr>
      </w:pPr>
    </w:p>
    <w:p w:rsidR="00C02DAD" w:rsidRDefault="00C02DAD" w:rsidP="006E0EFD">
      <w:pPr>
        <w:rPr>
          <w:rFonts w:cs="Arial"/>
          <w:b/>
        </w:rPr>
      </w:pPr>
    </w:p>
    <w:p w:rsidR="00911B93" w:rsidRPr="00D90416" w:rsidRDefault="006E0EFD" w:rsidP="00911B93">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2456" w:type="dxa"/>
        <w:tblLook w:val="04A0" w:firstRow="1" w:lastRow="0" w:firstColumn="1" w:lastColumn="0" w:noHBand="0" w:noVBand="1"/>
      </w:tblPr>
      <w:tblGrid>
        <w:gridCol w:w="10188"/>
        <w:gridCol w:w="2268"/>
      </w:tblGrid>
      <w:tr w:rsidR="00911B93" w:rsidRPr="00EB5831" w:rsidTr="005D3445">
        <w:trPr>
          <w:trHeight w:val="80"/>
        </w:trPr>
        <w:tc>
          <w:tcPr>
            <w:tcW w:w="10188" w:type="dxa"/>
          </w:tcPr>
          <w:p w:rsidR="00911B93" w:rsidRPr="003A15E9" w:rsidRDefault="00911B93" w:rsidP="00911B93">
            <w:pPr>
              <w:autoSpaceDE w:val="0"/>
              <w:autoSpaceDN w:val="0"/>
              <w:adjustRightInd w:val="0"/>
              <w:ind w:left="-105"/>
              <w:rPr>
                <w:rFonts w:ascii="Arial" w:hAnsi="Arial" w:cs="Arial"/>
                <w:b/>
              </w:rPr>
            </w:pPr>
            <w:r w:rsidRPr="003A15E9">
              <w:rPr>
                <w:rFonts w:cs="Arial"/>
                <w:b/>
              </w:rPr>
              <w:t>Activity 1:</w:t>
            </w:r>
            <w:r w:rsidRPr="003A15E9">
              <w:rPr>
                <w:rFonts w:cs="Arial"/>
                <w:i/>
              </w:rPr>
              <w:t xml:space="preserve"> </w:t>
            </w:r>
            <w:r w:rsidRPr="003A15E9">
              <w:rPr>
                <w:rFonts w:ascii="Arial" w:hAnsi="Arial" w:cs="Arial"/>
                <w:b/>
              </w:rPr>
              <w:t xml:space="preserve">Initiate about 6 new county geologic atlases; continue </w:t>
            </w:r>
          </w:p>
          <w:p w:rsidR="00911B93" w:rsidRPr="003A15E9" w:rsidRDefault="00911B93" w:rsidP="00911B93">
            <w:pPr>
              <w:autoSpaceDE w:val="0"/>
              <w:autoSpaceDN w:val="0"/>
              <w:adjustRightInd w:val="0"/>
              <w:ind w:left="-105"/>
              <w:rPr>
                <w:rFonts w:ascii="Arial" w:hAnsi="Arial" w:cs="Arial"/>
                <w:i/>
              </w:rPr>
            </w:pPr>
            <w:r w:rsidRPr="003A15E9">
              <w:rPr>
                <w:rFonts w:ascii="Arial" w:hAnsi="Arial" w:cs="Arial"/>
                <w:b/>
              </w:rPr>
              <w:t>existing projects</w:t>
            </w:r>
            <w:r w:rsidRPr="003A15E9">
              <w:rPr>
                <w:rFonts w:ascii="Arial" w:hAnsi="Arial" w:cs="Arial"/>
                <w:i/>
              </w:rPr>
              <w:t>—</w:t>
            </w:r>
            <w:r w:rsidRPr="003A15E9">
              <w:rPr>
                <w:rFonts w:ascii="Arial" w:hAnsi="Arial" w:cs="Arial"/>
                <w:b/>
              </w:rPr>
              <w:t>equivalent of about 10 atlases total</w:t>
            </w:r>
            <w:r w:rsidRPr="003A15E9">
              <w:rPr>
                <w:rFonts w:cs="Arial"/>
                <w:b/>
                <w:bCs/>
                <w:color w:val="000000"/>
              </w:rPr>
              <w:t xml:space="preserve">                               ENRTF BUDGET: $ </w:t>
            </w:r>
            <w:r w:rsidRPr="003A15E9">
              <w:rPr>
                <w:rFonts w:ascii="Arial" w:hAnsi="Arial" w:cs="Arial"/>
                <w:b/>
              </w:rPr>
              <w:t>4,12</w:t>
            </w:r>
            <w:r w:rsidR="00C926EB">
              <w:rPr>
                <w:rFonts w:ascii="Arial" w:hAnsi="Arial" w:cs="Arial"/>
                <w:b/>
              </w:rPr>
              <w:t>1</w:t>
            </w:r>
            <w:r w:rsidRPr="003A15E9">
              <w:rPr>
                <w:rFonts w:ascii="Arial" w:hAnsi="Arial" w:cs="Arial"/>
                <w:b/>
              </w:rPr>
              <w:t>,</w:t>
            </w:r>
            <w:r w:rsidR="00C926EB">
              <w:rPr>
                <w:rFonts w:ascii="Arial" w:hAnsi="Arial" w:cs="Arial"/>
                <w:b/>
              </w:rPr>
              <w:t>62</w:t>
            </w:r>
            <w:r w:rsidRPr="003A15E9">
              <w:rPr>
                <w:rFonts w:ascii="Arial" w:hAnsi="Arial" w:cs="Arial"/>
                <w:b/>
              </w:rPr>
              <w:t>5</w:t>
            </w:r>
          </w:p>
          <w:p w:rsidR="00911B93" w:rsidRDefault="00911B93" w:rsidP="00911B93">
            <w:pPr>
              <w:ind w:left="-105" w:right="162"/>
              <w:jc w:val="both"/>
              <w:rPr>
                <w:rFonts w:ascii="Arial" w:hAnsi="Arial" w:cs="Arial"/>
              </w:rPr>
            </w:pPr>
            <w:r w:rsidRPr="003A15E9">
              <w:rPr>
                <w:rFonts w:ascii="Arial" w:hAnsi="Arial" w:cs="Arial"/>
              </w:rPr>
              <w:t>Atlases begin with compilation of a database of subsurface information including well records.  The</w:t>
            </w:r>
            <w:r>
              <w:rPr>
                <w:rFonts w:ascii="Arial" w:hAnsi="Arial" w:cs="Arial"/>
              </w:rPr>
              <w:t xml:space="preserve"> local project partner establishes</w:t>
            </w:r>
            <w:r w:rsidRPr="000C6292">
              <w:rPr>
                <w:rFonts w:ascii="Arial" w:hAnsi="Arial" w:cs="Arial"/>
              </w:rPr>
              <w:t xml:space="preserve"> accurate digital locations for these wells.  Concurrently, geologists visit the project area to describe and sample landforms, and exposures of rock or sediment.  </w:t>
            </w:r>
          </w:p>
          <w:p w:rsidR="00911B93" w:rsidRPr="000C6292" w:rsidRDefault="00911B93" w:rsidP="00911B93">
            <w:pPr>
              <w:ind w:left="-105" w:right="-2088"/>
              <w:jc w:val="both"/>
              <w:rPr>
                <w:rFonts w:ascii="Arial" w:hAnsi="Arial" w:cs="Arial"/>
              </w:rPr>
            </w:pPr>
          </w:p>
          <w:p w:rsidR="00911B93" w:rsidRPr="000C6292" w:rsidRDefault="00911B93" w:rsidP="00911B93">
            <w:pPr>
              <w:ind w:left="-105" w:right="-18"/>
              <w:jc w:val="both"/>
              <w:rPr>
                <w:rFonts w:ascii="Arial" w:hAnsi="Arial" w:cs="Arial"/>
              </w:rPr>
            </w:pPr>
            <w:r w:rsidRPr="000C6292">
              <w:rPr>
                <w:rFonts w:ascii="Arial" w:hAnsi="Arial" w:cs="Arial"/>
              </w:rPr>
              <w:t>An initial assessment of the geologic data is then completed to focus additional data gathering including shallow and deep drill</w:t>
            </w:r>
            <w:r>
              <w:rPr>
                <w:rFonts w:ascii="Arial" w:hAnsi="Arial" w:cs="Arial"/>
              </w:rPr>
              <w:t>ing programs and geophysical,</w:t>
            </w:r>
            <w:r w:rsidRPr="000C6292">
              <w:rPr>
                <w:rFonts w:ascii="Arial" w:hAnsi="Arial" w:cs="Arial"/>
              </w:rPr>
              <w:t xml:space="preserve"> geochemical</w:t>
            </w:r>
            <w:r>
              <w:rPr>
                <w:rFonts w:ascii="Arial" w:hAnsi="Arial" w:cs="Arial"/>
              </w:rPr>
              <w:t xml:space="preserve">, and </w:t>
            </w:r>
            <w:proofErr w:type="spellStart"/>
            <w:r>
              <w:rPr>
                <w:rFonts w:ascii="Arial" w:hAnsi="Arial" w:cs="Arial"/>
              </w:rPr>
              <w:t>geochronologic</w:t>
            </w:r>
            <w:proofErr w:type="spellEnd"/>
            <w:r w:rsidRPr="000C6292">
              <w:rPr>
                <w:rFonts w:ascii="Arial" w:hAnsi="Arial" w:cs="Arial"/>
              </w:rPr>
              <w:t xml:space="preserve"> surveys.  Analysis of the data set is then completed and maps and associated databases are formalized and prepared for use in geographic information systems and distribution via DVD and web.  Most of the products are also printed for use in the field, and by users who prefer this format.  The number of counties we can map with these funds will be affected by the size, geologic complexity, and data availability of the counties that are chosen.</w:t>
            </w:r>
          </w:p>
          <w:p w:rsidR="00911B93" w:rsidRPr="00217C2A" w:rsidRDefault="00911B93" w:rsidP="00911B93">
            <w:pPr>
              <w:autoSpaceDE w:val="0"/>
              <w:autoSpaceDN w:val="0"/>
              <w:adjustRightInd w:val="0"/>
              <w:ind w:left="-105"/>
              <w:rPr>
                <w:sz w:val="18"/>
                <w:szCs w:val="18"/>
              </w:rPr>
            </w:pPr>
          </w:p>
        </w:tc>
        <w:tc>
          <w:tcPr>
            <w:tcW w:w="2268" w:type="dxa"/>
          </w:tcPr>
          <w:p w:rsidR="00911B93" w:rsidRPr="00EB5831" w:rsidRDefault="00911B93" w:rsidP="005D3445">
            <w:pPr>
              <w:rPr>
                <w:rFonts w:cs="Arial"/>
              </w:rPr>
            </w:pPr>
            <w:bookmarkStart w:id="0" w:name="_GoBack"/>
            <w:bookmarkEnd w:id="0"/>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6E0EFD" w:rsidRPr="009D6EC8" w:rsidTr="005F7237">
        <w:tc>
          <w:tcPr>
            <w:tcW w:w="8478" w:type="dxa"/>
          </w:tcPr>
          <w:p w:rsidR="006E0EFD" w:rsidRPr="009D6EC8" w:rsidRDefault="00A13F26" w:rsidP="006E0EFD">
            <w:pPr>
              <w:rPr>
                <w:rFonts w:cs="Arial"/>
                <w:b/>
              </w:rPr>
            </w:pPr>
            <w:r w:rsidRPr="009D6EC8">
              <w:rPr>
                <w:rFonts w:cs="Arial"/>
                <w:b/>
              </w:rPr>
              <w:t>Outcome</w:t>
            </w:r>
          </w:p>
        </w:tc>
        <w:tc>
          <w:tcPr>
            <w:tcW w:w="1800" w:type="dxa"/>
          </w:tcPr>
          <w:p w:rsidR="006E0EFD" w:rsidRPr="009D6EC8" w:rsidRDefault="006E0EFD" w:rsidP="005F7237">
            <w:pPr>
              <w:jc w:val="center"/>
              <w:rPr>
                <w:rFonts w:cs="Arial"/>
                <w:b/>
              </w:rPr>
            </w:pPr>
            <w:r w:rsidRPr="009D6EC8">
              <w:rPr>
                <w:rFonts w:cs="Arial"/>
                <w:b/>
              </w:rPr>
              <w:t>Completion Date</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1.  </w:t>
            </w:r>
            <w:r w:rsidR="00911B93">
              <w:rPr>
                <w:rFonts w:cs="Arial"/>
                <w:i/>
              </w:rPr>
              <w:t>Create database of well construction records to support the mapping, to document water use in specific aquifers, and to help resolve well problems</w:t>
            </w:r>
          </w:p>
        </w:tc>
        <w:tc>
          <w:tcPr>
            <w:tcW w:w="1800" w:type="dxa"/>
          </w:tcPr>
          <w:p w:rsidR="006E0EFD" w:rsidRPr="009D6EC8" w:rsidRDefault="00911B93" w:rsidP="006E0EFD">
            <w:pPr>
              <w:rPr>
                <w:rFonts w:cs="Arial"/>
                <w:i/>
              </w:rPr>
            </w:pPr>
            <w:r>
              <w:rPr>
                <w:rFonts w:cs="Arial"/>
                <w:i/>
              </w:rPr>
              <w:t>June 30, 2023</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2.  </w:t>
            </w:r>
            <w:r w:rsidR="00911B93">
              <w:rPr>
                <w:rFonts w:cs="Arial"/>
                <w:i/>
              </w:rPr>
              <w:t>Complete any unfinished ENRTF supported County Geologic Atlas projects in progress (ex; from 2018</w:t>
            </w:r>
            <w:r w:rsidR="009821FD">
              <w:rPr>
                <w:rFonts w:cs="Arial"/>
                <w:i/>
              </w:rPr>
              <w:t>/2019</w:t>
            </w:r>
            <w:r w:rsidR="00911B93">
              <w:rPr>
                <w:rFonts w:cs="Arial"/>
                <w:i/>
              </w:rPr>
              <w:t xml:space="preserve"> appropriation</w:t>
            </w:r>
            <w:r w:rsidR="009821FD">
              <w:rPr>
                <w:rFonts w:cs="Arial"/>
                <w:i/>
              </w:rPr>
              <w:t>s</w:t>
            </w:r>
            <w:r w:rsidR="00911B93">
              <w:rPr>
                <w:rFonts w:cs="Arial"/>
                <w:i/>
              </w:rPr>
              <w:t>)</w:t>
            </w:r>
          </w:p>
        </w:tc>
        <w:tc>
          <w:tcPr>
            <w:tcW w:w="1800" w:type="dxa"/>
          </w:tcPr>
          <w:p w:rsidR="006E0EFD" w:rsidRPr="009D6EC8" w:rsidRDefault="00911B93" w:rsidP="006E0EFD">
            <w:pPr>
              <w:rPr>
                <w:rFonts w:cs="Arial"/>
                <w:i/>
              </w:rPr>
            </w:pPr>
            <w:r>
              <w:rPr>
                <w:rFonts w:cs="Arial"/>
                <w:i/>
              </w:rPr>
              <w:t>June 30, 2023</w:t>
            </w:r>
          </w:p>
        </w:tc>
      </w:tr>
      <w:tr w:rsidR="006E0EFD" w:rsidRPr="009D6EC8" w:rsidTr="005F7237">
        <w:tc>
          <w:tcPr>
            <w:tcW w:w="8478" w:type="dxa"/>
          </w:tcPr>
          <w:p w:rsidR="009821FD" w:rsidRPr="009D6EC8" w:rsidRDefault="006E0EFD" w:rsidP="007002DE">
            <w:pPr>
              <w:rPr>
                <w:rFonts w:cs="Arial"/>
                <w:i/>
              </w:rPr>
            </w:pPr>
            <w:r w:rsidRPr="009D6EC8">
              <w:rPr>
                <w:rFonts w:cs="Arial"/>
                <w:i/>
              </w:rPr>
              <w:t xml:space="preserve">3.  </w:t>
            </w:r>
            <w:r w:rsidR="00911B93">
              <w:rPr>
                <w:rFonts w:cs="Arial"/>
                <w:i/>
              </w:rPr>
              <w:t>Make progress on maps of bedrock geology, surficial geology, subsurface Quaternary geology, bedrock topography, and</w:t>
            </w:r>
            <w:r w:rsidR="007002DE">
              <w:rPr>
                <w:rFonts w:cs="Arial"/>
                <w:i/>
              </w:rPr>
              <w:t xml:space="preserve"> thickness of glacial deposits</w:t>
            </w:r>
          </w:p>
        </w:tc>
        <w:tc>
          <w:tcPr>
            <w:tcW w:w="1800" w:type="dxa"/>
          </w:tcPr>
          <w:p w:rsidR="006E0EFD" w:rsidRDefault="00911B93" w:rsidP="006E0EFD">
            <w:pPr>
              <w:rPr>
                <w:rFonts w:cs="Arial"/>
                <w:i/>
              </w:rPr>
            </w:pPr>
            <w:r>
              <w:rPr>
                <w:rFonts w:cs="Arial"/>
                <w:i/>
              </w:rPr>
              <w:t>June 30, 2023</w:t>
            </w:r>
          </w:p>
          <w:p w:rsidR="009821FD" w:rsidRPr="009D6EC8" w:rsidRDefault="009821FD" w:rsidP="006E0EFD">
            <w:pPr>
              <w:rPr>
                <w:rFonts w:cs="Arial"/>
                <w:i/>
              </w:rPr>
            </w:pPr>
          </w:p>
        </w:tc>
      </w:tr>
      <w:tr w:rsidR="007002DE" w:rsidRPr="009D6EC8" w:rsidTr="005F7237">
        <w:tc>
          <w:tcPr>
            <w:tcW w:w="8478" w:type="dxa"/>
          </w:tcPr>
          <w:p w:rsidR="007002DE" w:rsidRPr="009D6EC8" w:rsidRDefault="007002DE" w:rsidP="007002DE">
            <w:pPr>
              <w:rPr>
                <w:rFonts w:cs="Arial"/>
                <w:i/>
              </w:rPr>
            </w:pPr>
          </w:p>
        </w:tc>
        <w:tc>
          <w:tcPr>
            <w:tcW w:w="1800" w:type="dxa"/>
          </w:tcPr>
          <w:p w:rsidR="007002DE" w:rsidRDefault="007002DE" w:rsidP="006E0EFD">
            <w:pPr>
              <w:rPr>
                <w:rFonts w:cs="Arial"/>
                <w:i/>
              </w:rPr>
            </w:pPr>
          </w:p>
        </w:tc>
      </w:tr>
    </w:tbl>
    <w:p w:rsidR="00C02DAD" w:rsidRDefault="00C02DAD" w:rsidP="005431D4">
      <w:pPr>
        <w:tabs>
          <w:tab w:val="left" w:pos="540"/>
        </w:tabs>
        <w:autoSpaceDE w:val="0"/>
        <w:autoSpaceDN w:val="0"/>
        <w:adjustRightInd w:val="0"/>
        <w:rPr>
          <w:rFonts w:cs="Arial"/>
          <w:i/>
        </w:rPr>
      </w:pPr>
    </w:p>
    <w:p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911B93" w:rsidRPr="003A15E9" w:rsidRDefault="00911B93" w:rsidP="00911B93">
      <w:pPr>
        <w:pStyle w:val="ListParagraph"/>
        <w:widowControl w:val="0"/>
        <w:numPr>
          <w:ilvl w:val="0"/>
          <w:numId w:val="14"/>
        </w:numPr>
        <w:rPr>
          <w:rFonts w:ascii="Arial" w:hAnsi="Arial" w:cs="Arial"/>
        </w:rPr>
      </w:pPr>
      <w:r w:rsidRPr="003A15E9">
        <w:rPr>
          <w:rFonts w:ascii="Arial" w:hAnsi="Arial" w:cs="Arial"/>
        </w:rPr>
        <w:t>MGS team of as many as 20 staff members including database specialists, geologists, geophysicists, geographic information system specialists, and an editor.</w:t>
      </w:r>
    </w:p>
    <w:p w:rsidR="00911B93" w:rsidRDefault="00911B93" w:rsidP="00911B93">
      <w:pPr>
        <w:pStyle w:val="ListParagraph"/>
        <w:widowControl w:val="0"/>
        <w:numPr>
          <w:ilvl w:val="0"/>
          <w:numId w:val="14"/>
        </w:numPr>
        <w:rPr>
          <w:rFonts w:ascii="Arial" w:hAnsi="Arial" w:cs="Arial"/>
        </w:rPr>
      </w:pPr>
      <w:r w:rsidRPr="003A15E9">
        <w:rPr>
          <w:rFonts w:ascii="Arial" w:hAnsi="Arial" w:cs="Arial"/>
        </w:rPr>
        <w:t>We will apply to federal geologic mapping cost-share programs to leverage additional funds</w:t>
      </w:r>
      <w:r>
        <w:rPr>
          <w:rFonts w:ascii="Arial" w:hAnsi="Arial" w:cs="Arial"/>
        </w:rPr>
        <w:t xml:space="preserve"> (current estimate $</w:t>
      </w:r>
      <w:r w:rsidRPr="007002DE">
        <w:rPr>
          <w:rFonts w:ascii="Arial" w:hAnsi="Arial" w:cs="Arial"/>
        </w:rPr>
        <w:t>1</w:t>
      </w:r>
      <w:r w:rsidR="00923C0A">
        <w:rPr>
          <w:rFonts w:ascii="Arial" w:hAnsi="Arial" w:cs="Arial"/>
        </w:rPr>
        <w:t>45</w:t>
      </w:r>
      <w:r w:rsidRPr="007002DE">
        <w:rPr>
          <w:rFonts w:ascii="Arial" w:hAnsi="Arial" w:cs="Arial"/>
        </w:rPr>
        <w:t>,000</w:t>
      </w:r>
      <w:r>
        <w:rPr>
          <w:rFonts w:ascii="Arial" w:hAnsi="Arial" w:cs="Arial"/>
        </w:rPr>
        <w:t xml:space="preserve"> pending)</w:t>
      </w:r>
    </w:p>
    <w:p w:rsidR="00CD586E" w:rsidRPr="00CD586E" w:rsidRDefault="00CD586E" w:rsidP="00CD586E">
      <w:pPr>
        <w:widowControl w:val="0"/>
        <w:ind w:left="360"/>
        <w:rPr>
          <w:rFonts w:ascii="Arial" w:hAnsi="Arial" w:cs="Arial"/>
        </w:rPr>
      </w:pPr>
    </w:p>
    <w:p w:rsidR="00CD586E" w:rsidRPr="00474B3B" w:rsidRDefault="00CD586E" w:rsidP="00CD586E">
      <w:pPr>
        <w:pStyle w:val="Bodycopy"/>
        <w:spacing w:before="0"/>
        <w:ind w:left="360"/>
        <w:rPr>
          <w:rFonts w:ascii="Calibri" w:hAnsi="Calibri" w:cs="Arial"/>
          <w:i/>
          <w:noProof/>
          <w:color w:val="auto"/>
          <w:sz w:val="22"/>
          <w:szCs w:val="22"/>
        </w:rPr>
      </w:pPr>
      <w:r>
        <w:rPr>
          <w:rFonts w:ascii="Calibri" w:hAnsi="Calibri" w:cs="Arial"/>
          <w:b/>
          <w:noProof/>
          <w:color w:val="auto"/>
          <w:sz w:val="22"/>
          <w:szCs w:val="22"/>
        </w:rPr>
        <w:t xml:space="preserve">A. </w:t>
      </w:r>
      <w:r w:rsidRPr="00157A46">
        <w:rPr>
          <w:rFonts w:ascii="Calibri" w:hAnsi="Calibri" w:cs="Arial"/>
          <w:b/>
          <w:noProof/>
          <w:color w:val="auto"/>
          <w:sz w:val="22"/>
          <w:szCs w:val="22"/>
        </w:rPr>
        <w:t xml:space="preserve">Partners receiving ENRTF funding </w:t>
      </w:r>
    </w:p>
    <w:tbl>
      <w:tblPr>
        <w:tblStyle w:val="TableGrid"/>
        <w:tblW w:w="0" w:type="auto"/>
        <w:tblLook w:val="04A0" w:firstRow="1" w:lastRow="0" w:firstColumn="1" w:lastColumn="0" w:noHBand="0" w:noVBand="1"/>
      </w:tblPr>
      <w:tblGrid>
        <w:gridCol w:w="1350"/>
        <w:gridCol w:w="269"/>
        <w:gridCol w:w="269"/>
        <w:gridCol w:w="8182"/>
      </w:tblGrid>
      <w:tr w:rsidR="00CD586E" w:rsidTr="005D3445">
        <w:tc>
          <w:tcPr>
            <w:tcW w:w="1368" w:type="dxa"/>
          </w:tcPr>
          <w:p w:rsidR="00CD586E" w:rsidRDefault="00CD586E" w:rsidP="005D3445">
            <w:pPr>
              <w:pStyle w:val="Bodycopy"/>
              <w:rPr>
                <w:rFonts w:ascii="Calibri" w:hAnsi="Calibri" w:cs="Arial"/>
                <w:b/>
                <w:noProof/>
                <w:color w:val="auto"/>
                <w:sz w:val="22"/>
                <w:szCs w:val="22"/>
              </w:rPr>
            </w:pPr>
            <w:r>
              <w:rPr>
                <w:rFonts w:ascii="Calibri" w:hAnsi="Calibri" w:cs="Arial"/>
                <w:b/>
                <w:noProof/>
                <w:color w:val="auto"/>
                <w:sz w:val="22"/>
                <w:szCs w:val="22"/>
              </w:rPr>
              <w:t>Name</w:t>
            </w:r>
          </w:p>
        </w:tc>
        <w:tc>
          <w:tcPr>
            <w:tcW w:w="270" w:type="dxa"/>
          </w:tcPr>
          <w:p w:rsidR="00CD586E" w:rsidRDefault="00CD586E" w:rsidP="005D3445">
            <w:pPr>
              <w:pStyle w:val="Bodycopy"/>
              <w:rPr>
                <w:rFonts w:ascii="Calibri" w:hAnsi="Calibri" w:cs="Arial"/>
                <w:b/>
                <w:noProof/>
                <w:color w:val="auto"/>
                <w:sz w:val="22"/>
                <w:szCs w:val="22"/>
              </w:rPr>
            </w:pPr>
          </w:p>
        </w:tc>
        <w:tc>
          <w:tcPr>
            <w:tcW w:w="270" w:type="dxa"/>
          </w:tcPr>
          <w:p w:rsidR="00CD586E" w:rsidRDefault="00CD586E" w:rsidP="005D3445">
            <w:pPr>
              <w:pStyle w:val="Bodycopy"/>
              <w:rPr>
                <w:rFonts w:ascii="Calibri" w:hAnsi="Calibri" w:cs="Arial"/>
                <w:b/>
                <w:noProof/>
                <w:color w:val="auto"/>
                <w:sz w:val="22"/>
                <w:szCs w:val="22"/>
              </w:rPr>
            </w:pPr>
          </w:p>
        </w:tc>
        <w:tc>
          <w:tcPr>
            <w:tcW w:w="8388" w:type="dxa"/>
          </w:tcPr>
          <w:p w:rsidR="00CD586E" w:rsidRDefault="00CD586E" w:rsidP="005D3445">
            <w:pPr>
              <w:pStyle w:val="Bodycopy"/>
              <w:rPr>
                <w:rFonts w:ascii="Calibri" w:hAnsi="Calibri" w:cs="Arial"/>
                <w:b/>
                <w:noProof/>
                <w:color w:val="auto"/>
                <w:sz w:val="22"/>
                <w:szCs w:val="22"/>
              </w:rPr>
            </w:pPr>
            <w:r>
              <w:rPr>
                <w:rFonts w:ascii="Calibri" w:hAnsi="Calibri" w:cs="Arial"/>
                <w:b/>
                <w:noProof/>
                <w:color w:val="auto"/>
                <w:sz w:val="22"/>
                <w:szCs w:val="22"/>
              </w:rPr>
              <w:t>Role</w:t>
            </w:r>
          </w:p>
        </w:tc>
      </w:tr>
      <w:tr w:rsidR="00CD586E" w:rsidTr="005D3445">
        <w:tc>
          <w:tcPr>
            <w:tcW w:w="1368" w:type="dxa"/>
          </w:tcPr>
          <w:p w:rsidR="00CD586E" w:rsidRPr="003A15E9" w:rsidRDefault="00CD586E" w:rsidP="005D3445">
            <w:pPr>
              <w:pStyle w:val="Bodycopy"/>
              <w:rPr>
                <w:rFonts w:ascii="Calibri" w:hAnsi="Calibri" w:cs="Arial"/>
                <w:noProof/>
                <w:color w:val="auto"/>
                <w:sz w:val="22"/>
                <w:szCs w:val="22"/>
              </w:rPr>
            </w:pPr>
            <w:r w:rsidRPr="003A15E9">
              <w:rPr>
                <w:rFonts w:ascii="Calibri" w:hAnsi="Calibri" w:cs="Arial"/>
                <w:noProof/>
                <w:color w:val="auto"/>
                <w:sz w:val="22"/>
                <w:szCs w:val="22"/>
              </w:rPr>
              <w:t xml:space="preserve">MN </w:t>
            </w:r>
            <w:r>
              <w:rPr>
                <w:rFonts w:ascii="Calibri" w:hAnsi="Calibri" w:cs="Arial"/>
                <w:noProof/>
                <w:color w:val="auto"/>
                <w:sz w:val="22"/>
                <w:szCs w:val="22"/>
              </w:rPr>
              <w:t xml:space="preserve"> DNR</w:t>
            </w:r>
          </w:p>
        </w:tc>
        <w:tc>
          <w:tcPr>
            <w:tcW w:w="270" w:type="dxa"/>
          </w:tcPr>
          <w:p w:rsidR="00CD586E" w:rsidRPr="003A15E9" w:rsidRDefault="00CD586E" w:rsidP="005D3445">
            <w:pPr>
              <w:pStyle w:val="Bodycopy"/>
              <w:rPr>
                <w:rFonts w:ascii="Calibri" w:hAnsi="Calibri" w:cs="Arial"/>
                <w:noProof/>
                <w:color w:val="auto"/>
                <w:sz w:val="22"/>
                <w:szCs w:val="22"/>
              </w:rPr>
            </w:pPr>
          </w:p>
        </w:tc>
        <w:tc>
          <w:tcPr>
            <w:tcW w:w="270" w:type="dxa"/>
          </w:tcPr>
          <w:p w:rsidR="00CD586E" w:rsidRPr="003A15E9" w:rsidRDefault="00CD586E" w:rsidP="005D3445">
            <w:pPr>
              <w:pStyle w:val="Bodycopy"/>
              <w:rPr>
                <w:rFonts w:ascii="Calibri" w:hAnsi="Calibri" w:cs="Arial"/>
                <w:noProof/>
                <w:color w:val="auto"/>
                <w:sz w:val="22"/>
                <w:szCs w:val="22"/>
              </w:rPr>
            </w:pPr>
          </w:p>
        </w:tc>
        <w:tc>
          <w:tcPr>
            <w:tcW w:w="8388" w:type="dxa"/>
          </w:tcPr>
          <w:p w:rsidR="00CD586E" w:rsidRPr="003A15E9" w:rsidRDefault="00CD586E" w:rsidP="005D3445">
            <w:pPr>
              <w:pStyle w:val="Bodycopy"/>
              <w:rPr>
                <w:rFonts w:ascii="Calibri" w:hAnsi="Calibri" w:cs="Arial"/>
                <w:noProof/>
                <w:color w:val="auto"/>
                <w:sz w:val="22"/>
                <w:szCs w:val="22"/>
              </w:rPr>
            </w:pPr>
            <w:r w:rsidRPr="003A15E9">
              <w:rPr>
                <w:rFonts w:ascii="Calibri" w:hAnsi="Calibri" w:cs="Arial"/>
                <w:noProof/>
                <w:color w:val="auto"/>
                <w:sz w:val="22"/>
                <w:szCs w:val="22"/>
              </w:rPr>
              <w:t xml:space="preserve">Will follow and construct Part B </w:t>
            </w:r>
            <w:r>
              <w:rPr>
                <w:rFonts w:ascii="Calibri" w:hAnsi="Calibri" w:cs="Arial"/>
                <w:noProof/>
                <w:color w:val="auto"/>
                <w:sz w:val="22"/>
                <w:szCs w:val="22"/>
              </w:rPr>
              <w:t xml:space="preserve">of the atlas </w:t>
            </w:r>
            <w:r w:rsidRPr="003A15E9">
              <w:rPr>
                <w:rFonts w:ascii="Calibri" w:hAnsi="Calibri" w:cs="Arial"/>
                <w:noProof/>
                <w:color w:val="auto"/>
                <w:sz w:val="22"/>
                <w:szCs w:val="22"/>
              </w:rPr>
              <w:t>which addresses water levels, water chemistry, and sensitivity (using separate funding)</w:t>
            </w:r>
          </w:p>
        </w:tc>
      </w:tr>
    </w:tbl>
    <w:p w:rsidR="00CD586E" w:rsidRPr="00157A46" w:rsidRDefault="00CD586E" w:rsidP="00CD586E">
      <w:pPr>
        <w:pStyle w:val="Bodycopy"/>
        <w:ind w:left="360"/>
        <w:rPr>
          <w:rFonts w:ascii="Calibri" w:hAnsi="Calibri" w:cs="Arial"/>
          <w:b/>
          <w:noProof/>
          <w:color w:val="auto"/>
          <w:sz w:val="22"/>
          <w:szCs w:val="22"/>
        </w:rPr>
      </w:pPr>
      <w:r>
        <w:rPr>
          <w:rFonts w:ascii="Calibri" w:hAnsi="Calibri" w:cs="Arial"/>
          <w:b/>
          <w:noProof/>
          <w:color w:val="auto"/>
          <w:sz w:val="22"/>
          <w:szCs w:val="22"/>
        </w:rPr>
        <w:t xml:space="preserve">B. </w:t>
      </w:r>
      <w:r w:rsidRPr="00157A46">
        <w:rPr>
          <w:rFonts w:ascii="Calibri" w:hAnsi="Calibri" w:cs="Arial"/>
          <w:b/>
          <w:noProof/>
          <w:color w:val="auto"/>
          <w:sz w:val="22"/>
          <w:szCs w:val="22"/>
        </w:rPr>
        <w:t xml:space="preserve">Partners NOT receiving ENRTF funding </w:t>
      </w:r>
    </w:p>
    <w:tbl>
      <w:tblPr>
        <w:tblStyle w:val="TableGrid"/>
        <w:tblW w:w="0" w:type="auto"/>
        <w:tblLook w:val="04A0" w:firstRow="1" w:lastRow="0" w:firstColumn="1" w:lastColumn="0" w:noHBand="0" w:noVBand="1"/>
      </w:tblPr>
      <w:tblGrid>
        <w:gridCol w:w="1615"/>
        <w:gridCol w:w="269"/>
        <w:gridCol w:w="269"/>
        <w:gridCol w:w="7917"/>
      </w:tblGrid>
      <w:tr w:rsidR="00CD586E" w:rsidTr="005D3445">
        <w:tc>
          <w:tcPr>
            <w:tcW w:w="1638" w:type="dxa"/>
          </w:tcPr>
          <w:p w:rsidR="00CD586E" w:rsidRDefault="00CD586E" w:rsidP="005D3445">
            <w:pPr>
              <w:pStyle w:val="Bodycopy"/>
              <w:rPr>
                <w:rFonts w:ascii="Calibri" w:hAnsi="Calibri" w:cs="Arial"/>
                <w:b/>
                <w:noProof/>
                <w:color w:val="auto"/>
                <w:sz w:val="22"/>
                <w:szCs w:val="22"/>
              </w:rPr>
            </w:pPr>
            <w:r>
              <w:rPr>
                <w:rFonts w:ascii="Calibri" w:hAnsi="Calibri" w:cs="Arial"/>
                <w:b/>
                <w:noProof/>
                <w:color w:val="auto"/>
                <w:sz w:val="22"/>
                <w:szCs w:val="22"/>
              </w:rPr>
              <w:t>Name</w:t>
            </w:r>
          </w:p>
        </w:tc>
        <w:tc>
          <w:tcPr>
            <w:tcW w:w="270" w:type="dxa"/>
          </w:tcPr>
          <w:p w:rsidR="00CD586E" w:rsidRDefault="00CD586E" w:rsidP="005D3445">
            <w:pPr>
              <w:pStyle w:val="Bodycopy"/>
              <w:rPr>
                <w:rFonts w:ascii="Calibri" w:hAnsi="Calibri" w:cs="Arial"/>
                <w:b/>
                <w:noProof/>
                <w:color w:val="auto"/>
                <w:sz w:val="22"/>
                <w:szCs w:val="22"/>
              </w:rPr>
            </w:pPr>
          </w:p>
        </w:tc>
        <w:tc>
          <w:tcPr>
            <w:tcW w:w="270" w:type="dxa"/>
          </w:tcPr>
          <w:p w:rsidR="00CD586E" w:rsidRDefault="00CD586E" w:rsidP="005D3445">
            <w:pPr>
              <w:pStyle w:val="Bodycopy"/>
              <w:rPr>
                <w:rFonts w:ascii="Calibri" w:hAnsi="Calibri" w:cs="Arial"/>
                <w:b/>
                <w:noProof/>
                <w:color w:val="auto"/>
                <w:sz w:val="22"/>
                <w:szCs w:val="22"/>
              </w:rPr>
            </w:pPr>
          </w:p>
        </w:tc>
        <w:tc>
          <w:tcPr>
            <w:tcW w:w="8118" w:type="dxa"/>
          </w:tcPr>
          <w:p w:rsidR="00CD586E" w:rsidRDefault="00CD586E" w:rsidP="005D3445">
            <w:pPr>
              <w:pStyle w:val="Bodycopy"/>
              <w:rPr>
                <w:rFonts w:ascii="Calibri" w:hAnsi="Calibri" w:cs="Arial"/>
                <w:b/>
                <w:noProof/>
                <w:color w:val="auto"/>
                <w:sz w:val="22"/>
                <w:szCs w:val="22"/>
              </w:rPr>
            </w:pPr>
            <w:r>
              <w:rPr>
                <w:rFonts w:ascii="Calibri" w:hAnsi="Calibri" w:cs="Arial"/>
                <w:b/>
                <w:noProof/>
                <w:color w:val="auto"/>
                <w:sz w:val="22"/>
                <w:szCs w:val="22"/>
              </w:rPr>
              <w:t>Role</w:t>
            </w:r>
          </w:p>
        </w:tc>
      </w:tr>
      <w:tr w:rsidR="00CD586E" w:rsidTr="005D3445">
        <w:tc>
          <w:tcPr>
            <w:tcW w:w="1638" w:type="dxa"/>
          </w:tcPr>
          <w:p w:rsidR="00CD586E" w:rsidRPr="003A15E9" w:rsidRDefault="00CD586E" w:rsidP="005D3445">
            <w:pPr>
              <w:pStyle w:val="Bodycopy"/>
              <w:rPr>
                <w:rFonts w:ascii="Calibri" w:hAnsi="Calibri" w:cs="Arial"/>
                <w:noProof/>
                <w:color w:val="auto"/>
                <w:sz w:val="22"/>
                <w:szCs w:val="22"/>
              </w:rPr>
            </w:pPr>
            <w:r w:rsidRPr="003A15E9">
              <w:rPr>
                <w:rFonts w:ascii="Calibri" w:hAnsi="Calibri" w:cs="Arial"/>
                <w:noProof/>
                <w:color w:val="auto"/>
                <w:sz w:val="22"/>
                <w:szCs w:val="22"/>
              </w:rPr>
              <w:t>County office</w:t>
            </w:r>
          </w:p>
        </w:tc>
        <w:tc>
          <w:tcPr>
            <w:tcW w:w="270" w:type="dxa"/>
          </w:tcPr>
          <w:p w:rsidR="00CD586E" w:rsidRPr="003A15E9" w:rsidRDefault="00CD586E" w:rsidP="005D3445">
            <w:pPr>
              <w:pStyle w:val="Bodycopy"/>
              <w:rPr>
                <w:rFonts w:ascii="Calibri" w:hAnsi="Calibri" w:cs="Arial"/>
                <w:noProof/>
                <w:color w:val="auto"/>
                <w:sz w:val="22"/>
                <w:szCs w:val="22"/>
              </w:rPr>
            </w:pPr>
          </w:p>
        </w:tc>
        <w:tc>
          <w:tcPr>
            <w:tcW w:w="270" w:type="dxa"/>
          </w:tcPr>
          <w:p w:rsidR="00CD586E" w:rsidRPr="003A15E9" w:rsidRDefault="00CD586E" w:rsidP="005D3445">
            <w:pPr>
              <w:pStyle w:val="Bodycopy"/>
              <w:rPr>
                <w:rFonts w:ascii="Calibri" w:hAnsi="Calibri" w:cs="Arial"/>
                <w:noProof/>
                <w:color w:val="auto"/>
                <w:sz w:val="22"/>
                <w:szCs w:val="22"/>
              </w:rPr>
            </w:pPr>
          </w:p>
        </w:tc>
        <w:tc>
          <w:tcPr>
            <w:tcW w:w="8118" w:type="dxa"/>
          </w:tcPr>
          <w:p w:rsidR="00CD586E" w:rsidRPr="003A15E9" w:rsidRDefault="00CD586E" w:rsidP="005D3445">
            <w:pPr>
              <w:pStyle w:val="Bodycopy"/>
              <w:rPr>
                <w:rFonts w:ascii="Calibri" w:hAnsi="Calibri" w:cs="Arial"/>
                <w:noProof/>
                <w:color w:val="auto"/>
                <w:sz w:val="22"/>
                <w:szCs w:val="22"/>
              </w:rPr>
            </w:pPr>
            <w:r w:rsidRPr="003A15E9">
              <w:rPr>
                <w:rFonts w:ascii="Calibri" w:hAnsi="Calibri" w:cs="Arial"/>
                <w:noProof/>
                <w:color w:val="auto"/>
                <w:sz w:val="22"/>
                <w:szCs w:val="22"/>
              </w:rPr>
              <w:t>Will establish accurate well locations and identify specific project needs</w:t>
            </w:r>
          </w:p>
        </w:tc>
      </w:tr>
    </w:tbl>
    <w:p w:rsidR="00CD586E" w:rsidRPr="00CD586E" w:rsidRDefault="00CD586E" w:rsidP="00CD586E">
      <w:pPr>
        <w:widowControl w:val="0"/>
        <w:ind w:left="360"/>
        <w:rPr>
          <w:rFonts w:ascii="Arial" w:hAnsi="Arial" w:cs="Arial"/>
        </w:rPr>
      </w:pPr>
    </w:p>
    <w:p w:rsidR="005431D4" w:rsidRDefault="005431D4" w:rsidP="006E0EFD">
      <w:pPr>
        <w:rPr>
          <w:rFonts w:cs="Arial"/>
          <w:b/>
        </w:rPr>
      </w:pPr>
    </w:p>
    <w:p w:rsidR="00600CF8" w:rsidRPr="009D6EC8" w:rsidRDefault="00600CF8" w:rsidP="006E0EFD">
      <w:pPr>
        <w:rPr>
          <w:rFonts w:cs="Arial"/>
          <w:b/>
        </w:rPr>
      </w:pPr>
    </w:p>
    <w:p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CD586E" w:rsidRPr="00CD586E" w:rsidRDefault="00CD586E" w:rsidP="00CD586E">
      <w:pPr>
        <w:widowControl w:val="0"/>
        <w:jc w:val="both"/>
        <w:rPr>
          <w:i/>
          <w:iCs/>
        </w:rPr>
      </w:pPr>
      <w:r w:rsidRPr="000C6292">
        <w:rPr>
          <w:rFonts w:ascii="Arial" w:hAnsi="Arial" w:cs="Arial"/>
          <w:bCs/>
        </w:rPr>
        <w:t>MGS is the geologic mapping agency of the state and is striving to provide comprehensive geologic mapping and associated databases at appropriate scales statewide as quickly as possible</w:t>
      </w:r>
      <w:r>
        <w:rPr>
          <w:rFonts w:ascii="Arial" w:hAnsi="Arial" w:cs="Arial"/>
          <w:bCs/>
        </w:rPr>
        <w:t>, primarily via</w:t>
      </w:r>
      <w:r w:rsidRPr="000C6292">
        <w:rPr>
          <w:rFonts w:ascii="Arial" w:hAnsi="Arial" w:cs="Arial"/>
          <w:bCs/>
        </w:rPr>
        <w:t xml:space="preserve"> </w:t>
      </w:r>
      <w:r>
        <w:rPr>
          <w:rFonts w:ascii="Arial" w:hAnsi="Arial" w:cs="Arial"/>
          <w:bCs/>
        </w:rPr>
        <w:t>t</w:t>
      </w:r>
      <w:r w:rsidRPr="000C6292">
        <w:rPr>
          <w:rFonts w:ascii="Arial" w:hAnsi="Arial" w:cs="Arial"/>
          <w:bCs/>
        </w:rPr>
        <w:t xml:space="preserve">he County Geologic Atlas </w:t>
      </w:r>
      <w:r>
        <w:rPr>
          <w:rFonts w:ascii="Arial" w:hAnsi="Arial" w:cs="Arial"/>
          <w:bCs/>
        </w:rPr>
        <w:t>P</w:t>
      </w:r>
      <w:r w:rsidRPr="000C6292">
        <w:rPr>
          <w:rFonts w:ascii="Arial" w:hAnsi="Arial" w:cs="Arial"/>
          <w:bCs/>
        </w:rPr>
        <w:t>rogram.</w:t>
      </w:r>
      <w:r>
        <w:rPr>
          <w:rFonts w:ascii="Arial" w:hAnsi="Arial" w:cs="Arial"/>
          <w:bCs/>
        </w:rPr>
        <w:t xml:space="preserve"> </w:t>
      </w:r>
      <w:r w:rsidRPr="000C6292">
        <w:rPr>
          <w:rFonts w:ascii="Arial" w:hAnsi="Arial" w:cs="Arial"/>
          <w:bCs/>
        </w:rPr>
        <w:t xml:space="preserve"> Atlases are complete or under</w:t>
      </w:r>
      <w:r>
        <w:rPr>
          <w:rFonts w:ascii="Arial" w:hAnsi="Arial" w:cs="Arial"/>
          <w:bCs/>
        </w:rPr>
        <w:t>way</w:t>
      </w:r>
      <w:r w:rsidRPr="000C6292">
        <w:rPr>
          <w:rFonts w:ascii="Arial" w:hAnsi="Arial" w:cs="Arial"/>
          <w:bCs/>
        </w:rPr>
        <w:t xml:space="preserve"> for </w:t>
      </w:r>
      <w:r w:rsidRPr="007002DE">
        <w:rPr>
          <w:rFonts w:ascii="Arial" w:hAnsi="Arial" w:cs="Arial"/>
          <w:bCs/>
        </w:rPr>
        <w:t>5</w:t>
      </w:r>
      <w:r w:rsidR="00C926EB">
        <w:rPr>
          <w:rFonts w:ascii="Arial" w:hAnsi="Arial" w:cs="Arial"/>
          <w:bCs/>
        </w:rPr>
        <w:t>7</w:t>
      </w:r>
      <w:r w:rsidRPr="000C6292">
        <w:rPr>
          <w:rFonts w:ascii="Arial" w:hAnsi="Arial" w:cs="Arial"/>
          <w:bCs/>
        </w:rPr>
        <w:t xml:space="preserve"> of the 87 counties in Minnesota. </w:t>
      </w:r>
      <w:r>
        <w:rPr>
          <w:rFonts w:ascii="Arial" w:hAnsi="Arial" w:cs="Arial"/>
          <w:bCs/>
        </w:rPr>
        <w:t xml:space="preserve">The completed atlases are used by townships, counties, state agencies, researchers, consultants, industries, and even homeowners.  They support the activities and programs responsible for managing Minnesota resources in a sustainable manner.  </w:t>
      </w:r>
      <w:r w:rsidRPr="000C6292">
        <w:rPr>
          <w:rFonts w:ascii="Arial" w:hAnsi="Arial" w:cs="Arial"/>
          <w:bCs/>
        </w:rPr>
        <w:t xml:space="preserve">The attached chart of recent and future funding of the program illustrates how ENRTF appropriations have increased activity to a level of approximately </w:t>
      </w:r>
      <w:r w:rsidRPr="00A3360C">
        <w:rPr>
          <w:rFonts w:ascii="Arial" w:hAnsi="Arial" w:cs="Arial"/>
          <w:bCs/>
        </w:rPr>
        <w:t>$</w:t>
      </w:r>
      <w:r>
        <w:rPr>
          <w:rFonts w:ascii="Arial" w:hAnsi="Arial" w:cs="Arial"/>
          <w:bCs/>
        </w:rPr>
        <w:t>2</w:t>
      </w:r>
      <w:r w:rsidRPr="00A3360C">
        <w:rPr>
          <w:rFonts w:ascii="Arial" w:hAnsi="Arial" w:cs="Arial"/>
          <w:bCs/>
        </w:rPr>
        <w:t>,</w:t>
      </w:r>
      <w:r>
        <w:rPr>
          <w:rFonts w:ascii="Arial" w:hAnsi="Arial" w:cs="Arial"/>
          <w:bCs/>
        </w:rPr>
        <w:t>00</w:t>
      </w:r>
      <w:r w:rsidRPr="00A3360C">
        <w:rPr>
          <w:rFonts w:ascii="Arial" w:hAnsi="Arial" w:cs="Arial"/>
          <w:bCs/>
        </w:rPr>
        <w:t>0,000</w:t>
      </w:r>
      <w:r w:rsidRPr="000C6292">
        <w:rPr>
          <w:rFonts w:ascii="Arial" w:hAnsi="Arial" w:cs="Arial"/>
          <w:bCs/>
        </w:rPr>
        <w:t xml:space="preserve"> per year.  At this level of spending statewide coverage could be achieved in approximately </w:t>
      </w:r>
      <w:r w:rsidRPr="007002DE">
        <w:rPr>
          <w:rFonts w:ascii="Arial" w:hAnsi="Arial" w:cs="Arial"/>
          <w:bCs/>
        </w:rPr>
        <w:t>7</w:t>
      </w:r>
      <w:r w:rsidRPr="000C6292">
        <w:rPr>
          <w:rFonts w:ascii="Arial" w:hAnsi="Arial" w:cs="Arial"/>
          <w:bCs/>
        </w:rPr>
        <w:t xml:space="preserve"> years.</w:t>
      </w:r>
      <w:r>
        <w:rPr>
          <w:i/>
          <w:iCs/>
        </w:rPr>
        <w:t xml:space="preserve"> </w:t>
      </w:r>
    </w:p>
    <w:p w:rsidR="00C02DAD" w:rsidRDefault="00186FCC" w:rsidP="00186FCC">
      <w:pPr>
        <w:tabs>
          <w:tab w:val="left" w:pos="7185"/>
        </w:tabs>
        <w:rPr>
          <w:rFonts w:cs="Arial"/>
          <w:b/>
        </w:rPr>
      </w:pPr>
      <w:r>
        <w:rPr>
          <w:rFonts w:cs="Arial"/>
          <w:b/>
        </w:rPr>
        <w:tab/>
      </w:r>
    </w:p>
    <w:p w:rsidR="00CD586E" w:rsidRPr="00AF4ECD" w:rsidRDefault="00CD586E" w:rsidP="00CD586E">
      <w:pPr>
        <w:tabs>
          <w:tab w:val="left" w:pos="540"/>
        </w:tabs>
        <w:autoSpaceDE w:val="0"/>
        <w:autoSpaceDN w:val="0"/>
        <w:adjustRightInd w:val="0"/>
        <w:rPr>
          <w:rFonts w:cs="Arial"/>
          <w:b/>
          <w:bCs/>
          <w:color w:val="000000"/>
        </w:rPr>
      </w:pPr>
      <w:r>
        <w:rPr>
          <w:rFonts w:cs="Arial"/>
          <w:b/>
          <w:bCs/>
          <w:color w:val="000000"/>
        </w:rPr>
        <w:t>TIME LINE</w:t>
      </w:r>
      <w:r w:rsidRPr="00AF4ECD">
        <w:rPr>
          <w:rFonts w:cs="Arial"/>
          <w:b/>
          <w:bCs/>
          <w:color w:val="000000"/>
        </w:rPr>
        <w:t xml:space="preserve"> REQUIREMENTS:</w:t>
      </w:r>
    </w:p>
    <w:p w:rsidR="00CD586E" w:rsidRPr="008E74B5" w:rsidRDefault="00CD586E" w:rsidP="00CD586E">
      <w:pPr>
        <w:jc w:val="both"/>
        <w:rPr>
          <w:rFonts w:ascii="Arial" w:hAnsi="Arial" w:cs="Arial"/>
        </w:rPr>
      </w:pPr>
      <w:r>
        <w:rPr>
          <w:rFonts w:ascii="Arial" w:hAnsi="Arial" w:cs="Arial"/>
        </w:rPr>
        <w:t>W</w:t>
      </w:r>
      <w:r w:rsidRPr="000C6292">
        <w:rPr>
          <w:rFonts w:ascii="Arial" w:hAnsi="Arial" w:cs="Arial"/>
        </w:rPr>
        <w:t>ork will be initiated in 20</w:t>
      </w:r>
      <w:r>
        <w:rPr>
          <w:rFonts w:ascii="Arial" w:hAnsi="Arial" w:cs="Arial"/>
        </w:rPr>
        <w:t xml:space="preserve">20 </w:t>
      </w:r>
      <w:r w:rsidRPr="000C6292">
        <w:rPr>
          <w:rFonts w:ascii="Arial" w:hAnsi="Arial" w:cs="Arial"/>
        </w:rPr>
        <w:t xml:space="preserve">and continue for </w:t>
      </w:r>
      <w:r>
        <w:rPr>
          <w:rFonts w:ascii="Arial" w:hAnsi="Arial" w:cs="Arial"/>
        </w:rPr>
        <w:t>three</w:t>
      </w:r>
      <w:r w:rsidRPr="000C6292">
        <w:rPr>
          <w:rFonts w:ascii="Arial" w:hAnsi="Arial" w:cs="Arial"/>
        </w:rPr>
        <w:t xml:space="preserve"> years</w:t>
      </w:r>
      <w:r w:rsidRPr="000C6292">
        <w:rPr>
          <w:rFonts w:ascii="Arial" w:hAnsi="Arial" w:cs="Arial"/>
          <w:i/>
        </w:rPr>
        <w:t xml:space="preserve">. </w:t>
      </w:r>
      <w:r w:rsidRPr="000C6292">
        <w:rPr>
          <w:rFonts w:ascii="Arial" w:hAnsi="Arial" w:cs="Arial"/>
        </w:rPr>
        <w:t xml:space="preserve">Most atlases require 3 to 4 years to complete, so </w:t>
      </w:r>
      <w:r>
        <w:rPr>
          <w:rFonts w:ascii="Arial" w:hAnsi="Arial" w:cs="Arial"/>
        </w:rPr>
        <w:t xml:space="preserve">some </w:t>
      </w:r>
      <w:r w:rsidRPr="000C6292">
        <w:rPr>
          <w:rFonts w:ascii="Arial" w:hAnsi="Arial" w:cs="Arial"/>
        </w:rPr>
        <w:t xml:space="preserve">projects started in this proposal may not be </w:t>
      </w:r>
      <w:r>
        <w:rPr>
          <w:rFonts w:ascii="Arial" w:hAnsi="Arial" w:cs="Arial"/>
        </w:rPr>
        <w:t>f</w:t>
      </w:r>
      <w:r w:rsidRPr="000C6292">
        <w:rPr>
          <w:rFonts w:ascii="Arial" w:hAnsi="Arial" w:cs="Arial"/>
        </w:rPr>
        <w:t xml:space="preserve">inished and require additional funding.  The funding level of this proposal is sized to continue the overall funding of atlases at the MGS to complete </w:t>
      </w:r>
      <w:r w:rsidRPr="00A3360C">
        <w:rPr>
          <w:rFonts w:ascii="Arial" w:hAnsi="Arial" w:cs="Arial"/>
        </w:rPr>
        <w:t>5</w:t>
      </w:r>
      <w:r w:rsidRPr="000C6292">
        <w:rPr>
          <w:rFonts w:ascii="Arial" w:hAnsi="Arial" w:cs="Arial"/>
        </w:rPr>
        <w:t xml:space="preserve"> counties per year, and covering t</w:t>
      </w:r>
      <w:r>
        <w:rPr>
          <w:rFonts w:ascii="Arial" w:hAnsi="Arial" w:cs="Arial"/>
        </w:rPr>
        <w:t xml:space="preserve">he entire state by about </w:t>
      </w:r>
      <w:r w:rsidRPr="00A3360C">
        <w:rPr>
          <w:rFonts w:ascii="Arial" w:hAnsi="Arial" w:cs="Arial"/>
        </w:rPr>
        <w:t>202</w:t>
      </w:r>
      <w:r>
        <w:rPr>
          <w:rFonts w:ascii="Arial" w:hAnsi="Arial" w:cs="Arial"/>
        </w:rPr>
        <w:t>6.</w:t>
      </w:r>
    </w:p>
    <w:p w:rsidR="00CE20AC" w:rsidRPr="000A26B2" w:rsidRDefault="00CE20AC" w:rsidP="00C02DAD">
      <w:pPr>
        <w:tabs>
          <w:tab w:val="left" w:pos="540"/>
        </w:tabs>
        <w:autoSpaceDE w:val="0"/>
        <w:autoSpaceDN w:val="0"/>
        <w:adjustRightInd w:val="0"/>
        <w:ind w:left="540"/>
        <w:rPr>
          <w:rFonts w:cs="Arial"/>
          <w:b/>
          <w:iCs/>
          <w:color w:val="000000"/>
        </w:rPr>
      </w:pPr>
    </w:p>
    <w:p w:rsidR="006E0EFD" w:rsidRPr="009D6EC8" w:rsidRDefault="006E0EFD" w:rsidP="006E0EFD">
      <w:pPr>
        <w:rPr>
          <w:rFonts w:cs="Arial"/>
        </w:rPr>
      </w:pPr>
    </w:p>
    <w:sectPr w:rsidR="006E0EFD" w:rsidRPr="009D6EC8" w:rsidSect="00911B93">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26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BE4" w:rsidRDefault="004A4BE4" w:rsidP="00533120">
      <w:r>
        <w:separator/>
      </w:r>
    </w:p>
  </w:endnote>
  <w:endnote w:type="continuationSeparator" w:id="0">
    <w:p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C926EB">
      <w:rPr>
        <w:noProof/>
      </w:rPr>
      <w:t>2</w:t>
    </w:r>
    <w:r>
      <w:fldChar w:fldCharType="end"/>
    </w:r>
  </w:p>
  <w:p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BE4" w:rsidRDefault="004A4BE4" w:rsidP="00533120">
      <w:r>
        <w:separator/>
      </w:r>
    </w:p>
  </w:footnote>
  <w:footnote w:type="continuationSeparator" w:id="0">
    <w:p w:rsidR="004A4BE4" w:rsidRDefault="004A4BE4"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5" name="Picture 5"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6" name="Picture 6"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990D59"/>
    <w:multiLevelType w:val="hybridMultilevel"/>
    <w:tmpl w:val="5560B4B4"/>
    <w:lvl w:ilvl="0" w:tplc="975E59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52CC18E7"/>
    <w:multiLevelType w:val="hybridMultilevel"/>
    <w:tmpl w:val="FD2A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D715F7A"/>
    <w:multiLevelType w:val="hybridMultilevel"/>
    <w:tmpl w:val="270C6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6"/>
  </w:num>
  <w:num w:numId="5">
    <w:abstractNumId w:val="12"/>
  </w:num>
  <w:num w:numId="6">
    <w:abstractNumId w:val="2"/>
  </w:num>
  <w:num w:numId="7">
    <w:abstractNumId w:val="7"/>
  </w:num>
  <w:num w:numId="8">
    <w:abstractNumId w:val="3"/>
  </w:num>
  <w:num w:numId="9">
    <w:abstractNumId w:val="11"/>
  </w:num>
  <w:num w:numId="10">
    <w:abstractNumId w:val="9"/>
  </w:num>
  <w:num w:numId="11">
    <w:abstractNumId w:val="1"/>
  </w:num>
  <w:num w:numId="12">
    <w:abstractNumId w:val="4"/>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3C96"/>
    <w:rsid w:val="000B34BA"/>
    <w:rsid w:val="000C3EF3"/>
    <w:rsid w:val="000D7F31"/>
    <w:rsid w:val="00100A34"/>
    <w:rsid w:val="00107495"/>
    <w:rsid w:val="001225BC"/>
    <w:rsid w:val="00165716"/>
    <w:rsid w:val="0018005E"/>
    <w:rsid w:val="00186FCC"/>
    <w:rsid w:val="001B0368"/>
    <w:rsid w:val="001E42AC"/>
    <w:rsid w:val="002159DD"/>
    <w:rsid w:val="00217C2A"/>
    <w:rsid w:val="00290E4E"/>
    <w:rsid w:val="0029726A"/>
    <w:rsid w:val="002B469A"/>
    <w:rsid w:val="003205A7"/>
    <w:rsid w:val="003239FE"/>
    <w:rsid w:val="00347E7A"/>
    <w:rsid w:val="00351EA6"/>
    <w:rsid w:val="00354888"/>
    <w:rsid w:val="003578A0"/>
    <w:rsid w:val="0037310D"/>
    <w:rsid w:val="0039481E"/>
    <w:rsid w:val="003F32CA"/>
    <w:rsid w:val="00404B9C"/>
    <w:rsid w:val="004357AE"/>
    <w:rsid w:val="004530F7"/>
    <w:rsid w:val="00454495"/>
    <w:rsid w:val="00487D08"/>
    <w:rsid w:val="0049103C"/>
    <w:rsid w:val="004A43B9"/>
    <w:rsid w:val="004A4BE4"/>
    <w:rsid w:val="004E6113"/>
    <w:rsid w:val="00533120"/>
    <w:rsid w:val="005431D4"/>
    <w:rsid w:val="00550B29"/>
    <w:rsid w:val="005648A9"/>
    <w:rsid w:val="005A1D00"/>
    <w:rsid w:val="005A4FB1"/>
    <w:rsid w:val="005F0DBA"/>
    <w:rsid w:val="005F1006"/>
    <w:rsid w:val="005F34EC"/>
    <w:rsid w:val="005F7237"/>
    <w:rsid w:val="00600CF8"/>
    <w:rsid w:val="00602068"/>
    <w:rsid w:val="00614DF2"/>
    <w:rsid w:val="00640A9A"/>
    <w:rsid w:val="006562F0"/>
    <w:rsid w:val="00686B53"/>
    <w:rsid w:val="006E0EFD"/>
    <w:rsid w:val="006F7F24"/>
    <w:rsid w:val="007002DE"/>
    <w:rsid w:val="00721661"/>
    <w:rsid w:val="00731A65"/>
    <w:rsid w:val="007761F1"/>
    <w:rsid w:val="007778A9"/>
    <w:rsid w:val="007936A9"/>
    <w:rsid w:val="007B284F"/>
    <w:rsid w:val="007B3535"/>
    <w:rsid w:val="00806460"/>
    <w:rsid w:val="008076FB"/>
    <w:rsid w:val="00823BBB"/>
    <w:rsid w:val="008949EE"/>
    <w:rsid w:val="008A088E"/>
    <w:rsid w:val="008A4498"/>
    <w:rsid w:val="008A5FD9"/>
    <w:rsid w:val="008D2242"/>
    <w:rsid w:val="00910DB8"/>
    <w:rsid w:val="00911B93"/>
    <w:rsid w:val="00912C65"/>
    <w:rsid w:val="00923C0A"/>
    <w:rsid w:val="009541C4"/>
    <w:rsid w:val="009821FD"/>
    <w:rsid w:val="009A49DE"/>
    <w:rsid w:val="009B6749"/>
    <w:rsid w:val="009C4875"/>
    <w:rsid w:val="009C69EB"/>
    <w:rsid w:val="009D0E57"/>
    <w:rsid w:val="009D14B4"/>
    <w:rsid w:val="009D6EC8"/>
    <w:rsid w:val="00A03E0A"/>
    <w:rsid w:val="00A13F26"/>
    <w:rsid w:val="00A42E60"/>
    <w:rsid w:val="00A45A41"/>
    <w:rsid w:val="00A7257F"/>
    <w:rsid w:val="00A73B75"/>
    <w:rsid w:val="00A75791"/>
    <w:rsid w:val="00AB6CFF"/>
    <w:rsid w:val="00AC2C07"/>
    <w:rsid w:val="00AC2CDE"/>
    <w:rsid w:val="00AD3337"/>
    <w:rsid w:val="00B728BF"/>
    <w:rsid w:val="00B8369A"/>
    <w:rsid w:val="00B86A22"/>
    <w:rsid w:val="00BC28A6"/>
    <w:rsid w:val="00C02DAD"/>
    <w:rsid w:val="00C660F0"/>
    <w:rsid w:val="00C72BD9"/>
    <w:rsid w:val="00C82CD3"/>
    <w:rsid w:val="00C85E92"/>
    <w:rsid w:val="00C926EB"/>
    <w:rsid w:val="00C952E4"/>
    <w:rsid w:val="00CB652D"/>
    <w:rsid w:val="00CD2AC7"/>
    <w:rsid w:val="00CD586E"/>
    <w:rsid w:val="00CE20AC"/>
    <w:rsid w:val="00D02E23"/>
    <w:rsid w:val="00D121DD"/>
    <w:rsid w:val="00D25619"/>
    <w:rsid w:val="00D32CFB"/>
    <w:rsid w:val="00E35F1F"/>
    <w:rsid w:val="00E37684"/>
    <w:rsid w:val="00E47145"/>
    <w:rsid w:val="00E5279E"/>
    <w:rsid w:val="00E619C4"/>
    <w:rsid w:val="00E76D57"/>
    <w:rsid w:val="00EB5831"/>
    <w:rsid w:val="00EE014C"/>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3B22AF86"/>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Barbara A Lusardi</cp:lastModifiedBy>
  <cp:revision>11</cp:revision>
  <cp:lastPrinted>2018-11-29T16:36:00Z</cp:lastPrinted>
  <dcterms:created xsi:type="dcterms:W3CDTF">2019-02-11T15:17:00Z</dcterms:created>
  <dcterms:modified xsi:type="dcterms:W3CDTF">2019-05-06T11:58:00Z</dcterms:modified>
</cp:coreProperties>
</file>