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2025-323</w:t>
      </w:r>
    </w:p>
    <w:p>
      <w:r>
        <w:rPr>
          <w:b/>
        </w:rPr>
        <w:t xml:space="preserve">Staff Lead: </w:t>
      </w:r>
      <w:r>
        <w:t>Michael Varien</w:t>
      </w:r>
    </w:p>
    <w:p>
      <w:r>
        <w:rPr>
          <w:b/>
        </w:rPr>
        <w:t xml:space="preserve">Date this document submitted to LCCMR: </w:t>
      </w:r>
      <w:r>
        <w:t>June 16, 2025</w:t>
      </w:r>
    </w:p>
    <w:p>
      <w:r>
        <w:rPr>
          <w:b/>
        </w:rPr>
        <w:t xml:space="preserve">Project Title: </w:t>
      </w:r>
      <w:r>
        <w:t>Chronic Wasting Disease Prions in Minnesota Waters</w:t>
      </w:r>
    </w:p>
    <w:p>
      <w:r>
        <w:rPr>
          <w:b/>
        </w:rPr>
        <w:t xml:space="preserve">Project Budget: </w:t>
      </w:r>
      <w:r>
        <w:t>$322,000</w:t>
      </w:r>
    </w:p>
    <w:p/>
    <w:p>
      <w:pPr>
        <w:pStyle w:val="Heading2"/>
        <w:spacing w:before="0" w:after="80"/>
      </w:pPr>
      <w:r>
        <w:rPr>
          <w:b/>
          <w:color w:val="2C559C"/>
          <w:sz w:val="28"/>
        </w:rPr>
        <w:t>Project Manager Information</w:t>
      </w:r>
    </w:p>
    <w:p>
      <w:r>
        <w:rPr>
          <w:b/>
        </w:rPr>
        <w:t xml:space="preserve">Name: </w:t>
      </w:r>
      <w:r>
        <w:t>Diana Karwan</w:t>
      </w:r>
    </w:p>
    <w:p>
      <w:r>
        <w:rPr>
          <w:b/>
        </w:rPr>
        <w:t xml:space="preserve">Organization: </w:t>
      </w:r>
      <w:r>
        <w:t>U of MN - College of Food, Agricultural and Natural Resource Sciences</w:t>
      </w:r>
    </w:p>
    <w:p>
      <w:r>
        <w:rPr>
          <w:b/>
        </w:rPr>
        <w:t xml:space="preserve">Office Telephone: </w:t>
      </w:r>
      <w:r>
        <w:t>(612) 624-2774</w:t>
      </w:r>
    </w:p>
    <w:p>
      <w:r>
        <w:rPr>
          <w:b/>
        </w:rPr>
        <w:t xml:space="preserve">Email: </w:t>
      </w:r>
      <w:r>
        <w:t>dlkarwan@umn.edu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03jj</w:t>
      </w:r>
    </w:p>
    <w:p>
      <w:r>
        <w:rPr>
          <w:b/>
        </w:rPr>
        <w:t xml:space="preserve">Appropriation Language: </w:t>
      </w:r>
      <w:r>
        <w:t xml:space="preserve">$322,000 the first year is from the trust fund to the Board of Regents of the University of Minnesota to evaluate the movement of chronic wasting disease in Minnesota waters, assess the risk of spread, and share results with wildlife and watershed managers.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Chronic Wasting Disease (CWD) environmental detection is combined with watershed knowledge to predict and evaluate how far and how fast CWD might move through watersheds and serve as a source</w:t>
      </w:r>
    </w:p>
    <w:p>
      <w:pPr>
        <w:spacing w:after="60"/>
      </w:pPr>
      <w:r>
        <w:rPr>
          <w:b/>
        </w:rPr>
        <w:t>Describe the opportunity or problem your proposal seeks to address. Include any relevant background information.</w:t>
      </w:r>
    </w:p>
    <w:p>
      <w:r>
        <w:t>Chronic Wasting Disease (CWD) is a fatal disease of deer and elk which has been found on farms and in wild herds in Minnesota and 32 other states. CWD agents, called prions, can survive for long periods of time outside of animals. Current efforts mainly focus on disease detection, transmission, and movement between animals. The detection and movement of CWD in the environment, outside of deer, remains far less understood. Recent findings from our group indicate that CWD prions associate with fine sediments suspended in water and are detectable on sediments eroding from land in two distinct Minnesota regions. Specifically, sediments were found downstream of cervid farms with known CWD infections after the farms had been depopulated. In many areas of Minnesota, soils erode from the landscape and move to receiving waterways. This proposed project combines CWD environmental detection with watershed knowledge to predict and evaluate how far and how fast CWD might move through watersheds, outside of deer. Movement through water could spread CWD prions from known hotspots of contamination hence placing more deer in wild herds at risk. Evaluation of the movement of CWD through water to downstream areas requires collaboration of both veterinary and water scientists.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evaluate the movement of CWD in streams and rivers as an emerging contaminant associated with fine sediment. The project team seeks to build on and integrate two bodies of distinct work, one in wildlife disease and the other in water resources, to assess and communicate the risk of CWD moving through Minnesota’s waterways. Previous work identified water flows from CWD landscape hotspots to the Red River of the North, including Red Lake, as well as the Upper and Lower Mississippi River Basins. An Emerging Issues request (LCCMR 2022-307) has been approved, under which a sampling plan, based on fine sediment dynamics in each focal region. This project will follow on our Emerging Issues project, and sample identified potential areas to test for CWD in Minnesota’s waterways including environmental sampling and analysis in MNPRO using RT-QuIC to evaluate for CWD according to best possible methods for environmental samples. We will use water science and watershed knowledge to predict where to sample, and MNPRO detection methods to evaluate CWD prions. Furthermore, we will communicate to groups invested in watershed planning (e.g. MPCA, tribal partners) on the outcomes of our study.</w:t>
      </w:r>
    </w:p>
    <w:p>
      <w:pPr>
        <w:spacing w:after="60"/>
      </w:pPr>
      <w:r>
        <w:rPr>
          <w:b/>
        </w:rPr>
        <w:t xml:space="preserve">What are the specific project outcomes as they relate to the public purpose of protection, conservation, preservation, and enhancement of the state’s natural resources? </w:t>
      </w:r>
    </w:p>
    <w:p>
      <w:r>
        <w:t>1. CWD detection status for these predictions based on state hotspots determined under Emerging Issues project 2022-307.</w:t>
        <w:br/>
        <w:t>2. Communication of the above in maps, reports, and presentations focused on watershed and wildlife management communities.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r>
        <w:t xml:space="preserve">, </w:t>
      </w:r>
      <w:r>
        <w:t>Central</w:t>
      </w:r>
      <w:r>
        <w:t xml:space="preserve">, </w:t>
      </w:r>
      <w:r>
        <w:t>NW</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Field sampling and prion testing of downstream water environments</w:t>
      </w:r>
    </w:p>
    <w:p>
      <w:r>
        <w:rPr>
          <w:b/>
        </w:rPr>
        <w:t xml:space="preserve">Activity Budget: </w:t>
      </w:r>
      <w:r>
        <w:t>$322,000</w:t>
      </w:r>
    </w:p>
    <w:p>
      <w:r>
        <w:rPr>
          <w:b/>
        </w:rPr>
        <w:t xml:space="preserve">Activity Description: </w:t>
        <w:br/>
      </w:r>
      <w:r>
        <w:t>We will use the information from Activity 1 to inform a stream and river sediment sampling effort to detect CWD on sediments further downstream of our known hotspots and other identified hotspots in the state. Sampling will be conducted under both spring high flow (e.g. snowmelt conditions if possible) and summer lower flow conditions. Sediments carried by water, and water present at the time from streams, lakes, etc, will be collected and subsequently analyzed for CWD by RT-QuIC testing in MNPRO based on established protocols. Additional sediment properties, such as clay content, will also be analyzed to refine estimates of sediment movement and the downstream sediment’s suitability for facilitating CWD movement. Laboratory analysis will detect presence of CWD prions.  Activity 2 leverages the diagnostic and testing capabilities existing in MNPRO and applies it to watershed predictions accounting for movement of soils.  Results will be communicated in conjunction with the water movement report (Milestone 1, Activity 1) to assess the ability to detect CWD moving downstream from landscape hotspots via waterways in Minnesota.  Timeline proposed reflects Emerging Issues Request.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summer conditions environmental sampling</w:t>
            </w:r>
          </w:p>
        </w:tc>
        <w:tc>
          <w:tcPr>
            <w:tcW w:type="dxa" w:w="2160"/>
          </w:tcPr>
          <w:p>
            <w:pPr>
              <w:jc w:val="right"/>
            </w:pPr>
            <w:r>
              <w:rPr>
                <w:sz w:val="20"/>
              </w:rPr>
              <w:t>September 30, 2025</w:t>
            </w:r>
          </w:p>
        </w:tc>
      </w:tr>
      <w:tr>
        <w:tc>
          <w:tcPr>
            <w:tcW w:type="dxa" w:w="8640"/>
          </w:tcPr>
          <w:p>
            <w:r>
              <w:rPr>
                <w:sz w:val="20"/>
              </w:rPr>
              <w:t>Complete spring conditions environmental sampling</w:t>
            </w:r>
          </w:p>
        </w:tc>
        <w:tc>
          <w:tcPr>
            <w:tcW w:type="dxa" w:w="2160"/>
          </w:tcPr>
          <w:p>
            <w:pPr>
              <w:jc w:val="right"/>
            </w:pPr>
            <w:r>
              <w:rPr>
                <w:sz w:val="20"/>
              </w:rPr>
              <w:t>May 31, 2026</w:t>
            </w:r>
          </w:p>
        </w:tc>
      </w:tr>
      <w:tr>
        <w:tc>
          <w:tcPr>
            <w:tcW w:type="dxa" w:w="8640"/>
          </w:tcPr>
          <w:p>
            <w:r>
              <w:rPr>
                <w:sz w:val="20"/>
              </w:rPr>
              <w:t>Complete all laboratory analysis of prion presence/absence and corresponding sediment laboratory characterization</w:t>
            </w:r>
          </w:p>
        </w:tc>
        <w:tc>
          <w:tcPr>
            <w:tcW w:type="dxa" w:w="2160"/>
          </w:tcPr>
          <w:p>
            <w:pPr>
              <w:jc w:val="right"/>
            </w:pPr>
            <w:r>
              <w:rPr>
                <w:sz w:val="20"/>
              </w:rPr>
              <w:t>August 31, 2026</w:t>
            </w:r>
          </w:p>
        </w:tc>
      </w:tr>
      <w:tr>
        <w:tc>
          <w:tcPr>
            <w:tcW w:type="dxa" w:w="8640"/>
          </w:tcPr>
          <w:p>
            <w:r>
              <w:rPr>
                <w:sz w:val="20"/>
              </w:rPr>
              <w:t>Present work and findings to key watershed and hunting groups</w:t>
            </w:r>
          </w:p>
        </w:tc>
        <w:tc>
          <w:tcPr>
            <w:tcW w:type="dxa" w:w="2160"/>
          </w:tcPr>
          <w:p>
            <w:pPr>
              <w:jc w:val="right"/>
            </w:pPr>
            <w:r>
              <w:rPr>
                <w:sz w:val="20"/>
              </w:rPr>
              <w:t>August 31, 2026</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Tiffany Wolf</w:t>
            </w:r>
          </w:p>
        </w:tc>
        <w:tc>
          <w:tcPr>
            <w:tcW w:type="dxa" w:w="1440"/>
          </w:tcPr>
          <w:p>
            <w:r>
              <w:rPr>
                <w:sz w:val="20"/>
              </w:rPr>
              <w:t>University of Minnesota</w:t>
            </w:r>
          </w:p>
        </w:tc>
        <w:tc>
          <w:tcPr>
            <w:tcW w:type="dxa" w:w="6840"/>
          </w:tcPr>
          <w:p>
            <w:r>
              <w:rPr>
                <w:sz w:val="20"/>
              </w:rPr>
              <w:t>Co-PI</w:t>
            </w:r>
          </w:p>
        </w:tc>
        <w:tc>
          <w:tcPr>
            <w:tcW w:type="dxa" w:w="1080"/>
          </w:tcPr>
          <w:p>
            <w:r>
              <w:rPr>
                <w:sz w:val="20"/>
              </w:rPr>
              <w:t>Yes</w:t>
            </w:r>
          </w:p>
        </w:tc>
      </w:tr>
      <w:tr>
        <w:tc>
          <w:tcPr>
            <w:tcW w:type="dxa" w:w="1440"/>
          </w:tcPr>
          <w:p>
            <w:r>
              <w:rPr>
                <w:sz w:val="20"/>
              </w:rPr>
              <w:t>Stuart Lichtenberg</w:t>
            </w:r>
          </w:p>
        </w:tc>
        <w:tc>
          <w:tcPr>
            <w:tcW w:type="dxa" w:w="1440"/>
          </w:tcPr>
          <w:p>
            <w:r>
              <w:rPr>
                <w:sz w:val="20"/>
              </w:rPr>
              <w:t>University of Minnesota</w:t>
            </w:r>
          </w:p>
        </w:tc>
        <w:tc>
          <w:tcPr>
            <w:tcW w:type="dxa" w:w="6840"/>
          </w:tcPr>
          <w:p>
            <w:r>
              <w:rPr>
                <w:sz w:val="20"/>
              </w:rPr>
              <w:t>Co-PI</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Communication of results with be done through multiple channels to both the wildlife and watershed management communities. We will leverage MNPRO networks to provide informational material to state natural resource managers. Additional presentations will be made at state conferences targeting mangers, such as the Minnesota Water Resources Conference as well as through meeting attendance and targeted conversations with state and tribal natural resource management agencies.  The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Information gathered, described above, will continue to be publicly available.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Understanding Brainworm Transmission to Find Solutions for Minnesota Moose Decline</w:t>
            </w:r>
          </w:p>
        </w:tc>
        <w:tc>
          <w:tcPr>
            <w:tcW w:type="dxa" w:w="4680"/>
          </w:tcPr>
          <w:p>
            <w:r>
              <w:rPr>
                <w:sz w:val="20"/>
              </w:rPr>
              <w:t>M.L. 2019, First Special Session, Chp. 4, Art. 2, Sec. 2, Subd. 03f</w:t>
            </w:r>
          </w:p>
        </w:tc>
        <w:tc>
          <w:tcPr>
            <w:tcW w:type="dxa" w:w="1440"/>
          </w:tcPr>
          <w:p>
            <w:pPr>
              <w:jc w:val="right"/>
            </w:pPr>
            <w:r>
              <w:rPr>
                <w:sz w:val="20"/>
              </w:rPr>
              <w:t>$400,000</w:t>
            </w:r>
          </w:p>
        </w:tc>
      </w:tr>
      <w:tr>
        <w:tc>
          <w:tcPr>
            <w:tcW w:type="dxa" w:w="4680"/>
          </w:tcPr>
          <w:p>
            <w:r>
              <w:rPr>
                <w:sz w:val="20"/>
              </w:rPr>
              <w:t>Diagnostic Test for Chronic Wasting Disease</w:t>
            </w:r>
          </w:p>
        </w:tc>
        <w:tc>
          <w:tcPr>
            <w:tcW w:type="dxa" w:w="4680"/>
          </w:tcPr>
          <w:p>
            <w:r>
              <w:rPr>
                <w:sz w:val="20"/>
              </w:rPr>
              <w:t>M.L. 2019, First Special Session, Chp. 4, Art. 2, Sec. 2, Subd. 03t</w:t>
            </w:r>
          </w:p>
        </w:tc>
        <w:tc>
          <w:tcPr>
            <w:tcW w:type="dxa" w:w="1440"/>
          </w:tcPr>
          <w:p>
            <w:pPr>
              <w:jc w:val="right"/>
            </w:pPr>
            <w:r>
              <w:rPr>
                <w:sz w:val="20"/>
              </w:rPr>
              <w:t>$1,804,000</w:t>
            </w:r>
          </w:p>
        </w:tc>
      </w:tr>
      <w:tr>
        <w:tc>
          <w:tcPr>
            <w:tcW w:type="dxa" w:w="4680"/>
          </w:tcPr>
          <w:p>
            <w:r>
              <w:rPr>
                <w:sz w:val="20"/>
              </w:rPr>
              <w:t>CWD Prion Research in Soils</w:t>
            </w:r>
          </w:p>
        </w:tc>
        <w:tc>
          <w:tcPr>
            <w:tcW w:type="dxa" w:w="4680"/>
          </w:tcPr>
          <w:p>
            <w:r>
              <w:rPr>
                <w:sz w:val="20"/>
              </w:rPr>
              <w:t>M.L. 2021, First Special Session, Chp. 6, Art. 5, Sec. 2, Subd. 20a5</w:t>
            </w:r>
          </w:p>
        </w:tc>
        <w:tc>
          <w:tcPr>
            <w:tcW w:type="dxa" w:w="1440"/>
          </w:tcPr>
          <w:p>
            <w:pPr>
              <w:jc w:val="right"/>
            </w:pPr>
            <w:r>
              <w:rPr>
                <w:sz w:val="20"/>
              </w:rPr>
              <w:t>$336,000</w:t>
            </w:r>
          </w:p>
        </w:tc>
      </w:tr>
      <w:tr>
        <w:tc>
          <w:tcPr>
            <w:tcW w:type="dxa" w:w="4680"/>
          </w:tcPr>
          <w:p>
            <w:r>
              <w:rPr>
                <w:sz w:val="20"/>
              </w:rPr>
              <w:t>Establishing a Center for Prion Research and Outreach</w:t>
            </w:r>
          </w:p>
        </w:tc>
        <w:tc>
          <w:tcPr>
            <w:tcW w:type="dxa" w:w="4680"/>
          </w:tcPr>
          <w:p>
            <w:r>
              <w:rPr>
                <w:sz w:val="20"/>
              </w:rPr>
              <w:t>M.L. 2022, , Chp. 94, Art. , Sec. 2, Subd. 03k</w:t>
            </w:r>
          </w:p>
        </w:tc>
        <w:tc>
          <w:tcPr>
            <w:tcW w:type="dxa" w:w="1440"/>
          </w:tcPr>
          <w:p>
            <w:pPr>
              <w:jc w:val="right"/>
            </w:pPr>
            <w:r>
              <w:rPr>
                <w:sz w:val="20"/>
              </w:rPr>
              <w:t>$3,877,000</w:t>
            </w:r>
          </w:p>
        </w:tc>
      </w:tr>
      <w:tr>
        <w:tc>
          <w:tcPr>
            <w:tcW w:type="dxa" w:w="4680"/>
          </w:tcPr>
          <w:p>
            <w:r>
              <w:rPr>
                <w:sz w:val="20"/>
              </w:rPr>
              <w:t>Chronic Wasting Disease Prion Soil Research</w:t>
            </w:r>
          </w:p>
        </w:tc>
        <w:tc>
          <w:tcPr>
            <w:tcW w:type="dxa" w:w="4680"/>
          </w:tcPr>
          <w:p>
            <w:r>
              <w:rPr>
                <w:sz w:val="20"/>
              </w:rPr>
              <w:t>M.L. 2022, , Chp. 94, Art. , Sec. 2, Subd. 03n</w:t>
            </w:r>
          </w:p>
        </w:tc>
        <w:tc>
          <w:tcPr>
            <w:tcW w:type="dxa" w:w="1440"/>
          </w:tcPr>
          <w:p>
            <w:pPr>
              <w:jc w:val="right"/>
            </w:pPr>
            <w:r>
              <w:rPr>
                <w:sz w:val="20"/>
              </w:rPr>
              <w:t>$732,000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Senior Personnel / PI and Co-PI</w:t>
            </w:r>
          </w:p>
        </w:tc>
        <w:tc>
          <w:tcPr>
            <w:tcW w:type="dxa" w:w="1440"/>
          </w:tcPr>
          <w:p>
            <w:r>
              <w:rPr>
                <w:sz w:val="20"/>
              </w:rPr>
            </w:r>
          </w:p>
        </w:tc>
        <w:tc>
          <w:tcPr>
            <w:tcW w:type="dxa" w:w="5472"/>
          </w:tcPr>
          <w:p>
            <w:r>
              <w:rPr>
                <w:sz w:val="20"/>
              </w:rPr>
              <w:t>Lead science, manage project, supervise and design review, lab, and fieldwork</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0.05</w:t>
            </w:r>
          </w:p>
        </w:tc>
        <w:tc>
          <w:tcPr>
            <w:tcW w:type="dxa" w:w="360"/>
          </w:tcPr>
          <w:p>
            <w:r>
              <w:rPr>
                <w:sz w:val="20"/>
              </w:rPr>
            </w:r>
          </w:p>
        </w:tc>
        <w:tc>
          <w:tcPr>
            <w:tcW w:type="dxa" w:w="1152"/>
          </w:tcPr>
          <w:p>
            <w:pPr>
              <w:jc w:val="right"/>
            </w:pPr>
            <w:r>
              <w:rPr>
                <w:sz w:val="20"/>
              </w:rPr>
              <w:t>$21,536</w:t>
            </w:r>
          </w:p>
        </w:tc>
      </w:tr>
      <w:tr>
        <w:tc>
          <w:tcPr>
            <w:tcW w:type="dxa" w:w="864"/>
          </w:tcPr>
          <w:p>
            <w:r>
              <w:rPr>
                <w:sz w:val="20"/>
              </w:rPr>
              <w:t>Staff - P&amp;A: includes research, laboratory, and</w:t>
            </w:r>
          </w:p>
        </w:tc>
        <w:tc>
          <w:tcPr>
            <w:tcW w:type="dxa" w:w="1440"/>
          </w:tcPr>
          <w:p>
            <w:r>
              <w:rPr>
                <w:sz w:val="20"/>
              </w:rPr>
            </w:r>
          </w:p>
        </w:tc>
        <w:tc>
          <w:tcPr>
            <w:tcW w:type="dxa" w:w="5472"/>
          </w:tcPr>
          <w:p>
            <w:r>
              <w:rPr>
                <w:sz w:val="20"/>
              </w:rPr>
              <w:t>Conduct literature review, field and laboratory sampling and analysis. Meet with communities to disucss findings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1.3</w:t>
            </w:r>
          </w:p>
        </w:tc>
        <w:tc>
          <w:tcPr>
            <w:tcW w:type="dxa" w:w="360"/>
          </w:tcPr>
          <w:p>
            <w:r>
              <w:rPr>
                <w:sz w:val="20"/>
              </w:rPr>
            </w:r>
          </w:p>
        </w:tc>
        <w:tc>
          <w:tcPr>
            <w:tcW w:type="dxa" w:w="1152"/>
          </w:tcPr>
          <w:p>
            <w:pPr>
              <w:jc w:val="right"/>
            </w:pPr>
            <w:r>
              <w:rPr>
                <w:sz w:val="20"/>
              </w:rPr>
              <w:t>$119,130</w:t>
            </w:r>
          </w:p>
        </w:tc>
      </w:tr>
      <w:tr>
        <w:tc>
          <w:tcPr>
            <w:tcW w:type="dxa" w:w="864"/>
          </w:tcPr>
          <w:p>
            <w:r>
              <w:rPr>
                <w:sz w:val="20"/>
              </w:rPr>
              <w:t>Graduate Students</w:t>
            </w:r>
          </w:p>
        </w:tc>
        <w:tc>
          <w:tcPr>
            <w:tcW w:type="dxa" w:w="1440"/>
          </w:tcPr>
          <w:p>
            <w:r>
              <w:rPr>
                <w:sz w:val="20"/>
              </w:rPr>
            </w:r>
          </w:p>
        </w:tc>
        <w:tc>
          <w:tcPr>
            <w:tcW w:type="dxa" w:w="5472"/>
          </w:tcPr>
          <w:p>
            <w:r>
              <w:rPr>
                <w:sz w:val="20"/>
              </w:rPr>
              <w:t>University of Minnesota Graduate Students contributing to all aspects of research; fringe includes tuition</w:t>
            </w:r>
          </w:p>
        </w:tc>
        <w:tc>
          <w:tcPr>
            <w:tcW w:type="dxa" w:w="4032"/>
          </w:tcPr>
          <w:p>
            <w:r>
              <w:rPr>
                <w:sz w:val="20"/>
              </w:rPr>
            </w:r>
          </w:p>
        </w:tc>
        <w:tc>
          <w:tcPr>
            <w:tcW w:type="dxa" w:w="360"/>
          </w:tcPr>
          <w:p>
            <w:r>
              <w:rPr>
                <w:sz w:val="20"/>
              </w:rPr>
            </w:r>
          </w:p>
        </w:tc>
        <w:tc>
          <w:tcPr>
            <w:tcW w:type="dxa" w:w="360"/>
          </w:tcPr>
          <w:p>
            <w:pPr>
              <w:jc w:val="right"/>
            </w:pPr>
            <w:r>
              <w:rPr>
                <w:sz w:val="20"/>
              </w:rPr>
              <w:t>63.7%</w:t>
            </w:r>
          </w:p>
        </w:tc>
        <w:tc>
          <w:tcPr>
            <w:tcW w:type="dxa" w:w="360"/>
          </w:tcPr>
          <w:p>
            <w:pPr>
              <w:jc w:val="right"/>
            </w:pPr>
            <w:r>
              <w:rPr>
                <w:sz w:val="20"/>
              </w:rPr>
              <w:t>1</w:t>
            </w:r>
          </w:p>
        </w:tc>
        <w:tc>
          <w:tcPr>
            <w:tcW w:type="dxa" w:w="360"/>
          </w:tcPr>
          <w:p>
            <w:r>
              <w:rPr>
                <w:sz w:val="20"/>
              </w:rPr>
            </w:r>
          </w:p>
        </w:tc>
        <w:tc>
          <w:tcPr>
            <w:tcW w:type="dxa" w:w="1152"/>
          </w:tcPr>
          <w:p>
            <w:pPr>
              <w:jc w:val="right"/>
            </w:pPr>
            <w:r>
              <w:rPr>
                <w:sz w:val="20"/>
              </w:rPr>
              <w:t>$89,186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$229,852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and laboratory supplies / consumables</w:t>
            </w:r>
          </w:p>
        </w:tc>
        <w:tc>
          <w:tcPr>
            <w:tcW w:type="dxa" w:w="4032"/>
          </w:tcPr>
          <w:p>
            <w:r>
              <w:rPr>
                <w:sz w:val="20"/>
              </w:rPr>
              <w:t>Consumable supplies and supplies needed for field and laboratory work compliant with prion sampling protocols (e.g. chemical reagents, sampling and storage supplies such as bags, bottles, PPE including tyvek, gloves, waders for stream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$59,648</w:t>
            </w:r>
          </w:p>
        </w:tc>
      </w:tr>
      <w:tr>
        <w:tc>
          <w:tcPr>
            <w:tcW w:type="dxa" w:w="864"/>
          </w:tcPr>
          <w:p>
            <w:r>
              <w:rPr>
                <w:sz w:val="20"/>
              </w:rPr>
            </w:r>
          </w:p>
        </w:tc>
        <w:tc>
          <w:tcPr>
            <w:tcW w:type="dxa" w:w="1440"/>
          </w:tcPr>
          <w:p>
            <w:r>
              <w:rPr>
                <w:sz w:val="20"/>
              </w:rPr>
              <w:t>Equipment</w:t>
            </w:r>
          </w:p>
        </w:tc>
        <w:tc>
          <w:tcPr>
            <w:tcW w:type="dxa" w:w="5472"/>
          </w:tcPr>
          <w:p>
            <w:r>
              <w:rPr>
                <w:sz w:val="20"/>
              </w:rPr>
              <w:t>submersible pumps (2 @ ~$250 each)</w:t>
            </w:r>
          </w:p>
        </w:tc>
        <w:tc>
          <w:tcPr>
            <w:tcW w:type="dxa" w:w="4032"/>
          </w:tcPr>
          <w:p>
            <w:r>
              <w:rPr>
                <w:sz w:val="20"/>
              </w:rPr>
              <w:t>Pumps used used for water sampling from bridges / other areas needing access from a higher road crossing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$60,148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Freezer</w:t>
            </w:r>
          </w:p>
        </w:tc>
        <w:tc>
          <w:tcPr>
            <w:tcW w:type="dxa" w:w="4032"/>
          </w:tcPr>
          <w:p>
            <w:r>
              <w:rPr>
                <w:sz w:val="20"/>
              </w:rPr>
              <w:t>Freezer dedicated for environmental samples (-80C); needed to keep samples separate and stored prior to analysis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Approximiatley 4 trips/year will be conducted (e.g. near cities of Bemidji and Winona). At this time, team will collect samples and meet with relevant local groups. 3-5 team members will travel for 3 nights each time.</w:t>
            </w:r>
          </w:p>
        </w:tc>
        <w:tc>
          <w:tcPr>
            <w:tcW w:type="dxa" w:w="4032"/>
          </w:tcPr>
          <w:p>
            <w:r>
              <w:rPr>
                <w:sz w:val="20"/>
              </w:rPr>
              <w:t>Approximiatley 4 trips/year will be conducted for sample collection in effected areas of the state (e.g. near cities of Bemidji and Winona). At this time, team will collect samples and meet with relevant local groups. Meeting participation with agency staff will also take place in person.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Fees associated with open source publication in peer reviewed literature</w:t>
            </w:r>
          </w:p>
        </w:tc>
        <w:tc>
          <w:tcPr>
            <w:tcW w:type="dxa" w:w="4032"/>
          </w:tcPr>
          <w:p>
            <w:r>
              <w:rPr>
                <w:sz w:val="20"/>
              </w:rPr>
              <w:t>Fees necessary to publish in a scientific journal in such a way that readers don't have to pay for access to publication, or have an institutional affiliation that provides a subscription.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$322,000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Freezer</w:t>
            </w:r>
          </w:p>
        </w:tc>
        <w:tc>
          <w:tcPr>
            <w:tcW w:type="dxa" w:w="7560"/>
          </w:tcPr>
          <w:p>
            <w:r>
              <w:rPr>
                <w:sz w:val="20"/>
              </w:rPr>
              <w:t>Samples collected under this project need to be stored appropriately for analysis to be properly conducted.</w:t>
              <w:br/>
            </w:r>
            <w:r>
              <w:rPr>
                <w:b/>
                <w:sz w:val="20"/>
              </w:rPr>
              <w:t xml:space="preserve">Additional Explanation : </w:t>
            </w:r>
            <w:r>
              <w:rPr>
                <w:sz w:val="20"/>
              </w:rPr>
              <w:t>storage for environmental samples will remain in the MNPRO facility and store any unused portion of sediment and environmental samples after analysis under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$322,000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12fe2c8a-726.pdf</w:t>
          </w:r>
        </w:hyperlink>
      </w:r>
    </w:p>
    <w:p>
      <w:pPr>
        <w:pStyle w:val="Heading4"/>
        <w:spacing w:before="40" w:after="20"/>
      </w:pPr>
      <w:r>
        <w:rPr>
          <w:b/>
          <w:i/>
          <w:color w:val="000000"/>
          <w:sz w:val="24"/>
        </w:rPr>
        <w:t>Alternate Text for Visual Component</w:t>
      </w:r>
    </w:p>
    <w:p>
      <w:r>
        <w:t>Map showing the hypothetical flow of CWD prions through Minnesota watersheds if they were to enter the stream network from depopulated CWD-positive farms. This is based on the watersheds containing farms and the next 10 watersheds downstream. The proposed project aims to add possible travel times to such distances....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SPA Letter - Karwan</w:t>
            </w:r>
          </w:p>
        </w:tc>
        <w:tc>
          <w:tcPr>
            <w:tcW w:type="dxa" w:w="5400"/>
          </w:tcPr>
          <w:p>
            <w:r>
              <w:rPr>
                <w:sz w:val="20"/>
              </w:rPr>
            </w:r>
            <w:r>
              <w:rPr>
                <w:color w:val="000000" w:themeColor="hyperlink"/>
                <w:sz w:val="20"/>
                <w:u w:val="single"/>
              </w:rPr>
              <w:hyperlink r:id="rId13">
                <w:r>
                  <w:rPr/>
                  <w:t>9841e9c8-135.pdf</w:t>
                </w:r>
              </w:hyperlink>
            </w:r>
          </w:p>
        </w:tc>
      </w:tr>
      <w:tr>
        <w:tc>
          <w:tcPr>
            <w:tcW w:type="dxa" w:w="5400"/>
          </w:tcPr>
          <w:p>
            <w:r>
              <w:rPr>
                <w:sz w:val="20"/>
              </w:rPr>
              <w:t>Final Report to the Clean Water Fund - 2024</w:t>
            </w:r>
          </w:p>
        </w:tc>
        <w:tc>
          <w:tcPr>
            <w:tcW w:type="dxa" w:w="5400"/>
          </w:tcPr>
          <w:p>
            <w:r>
              <w:rPr>
                <w:sz w:val="20"/>
              </w:rPr>
            </w:r>
            <w:r>
              <w:rPr>
                <w:color w:val="000000" w:themeColor="hyperlink"/>
                <w:sz w:val="20"/>
                <w:u w:val="single"/>
              </w:rPr>
              <w:hyperlink r:id="rId14">
                <w:r>
                  <w:rPr/>
                  <w:t>67c21abd-d69.pdf</w:t>
                </w:r>
              </w:hyperlink>
            </w:r>
          </w:p>
        </w:tc>
      </w:tr>
      <w:tr>
        <w:tc>
          <w:tcPr>
            <w:tcW w:type="dxa" w:w="5400"/>
          </w:tcPr>
          <w:p>
            <w:r>
              <w:rPr>
                <w:sz w:val="20"/>
              </w:rPr>
              <w:t>2025-323 Research Addendum revised_Final</w:t>
            </w:r>
          </w:p>
        </w:tc>
        <w:tc>
          <w:tcPr>
            <w:tcW w:type="dxa" w:w="5400"/>
          </w:tcPr>
          <w:p>
            <w:r>
              <w:rPr>
                <w:sz w:val="20"/>
              </w:rPr>
            </w:r>
            <w:r>
              <w:rPr>
                <w:color w:val="000000" w:themeColor="hyperlink"/>
                <w:sz w:val="20"/>
                <w:u w:val="single"/>
              </w:rPr>
              <w:hyperlink r:id="rId15">
                <w:r>
                  <w:rPr/>
                  <w:t>e97fe457-f17.docx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have worked to separate out the work plan steps between Emerging Issues project (2022-307) based on communication with Staff. Project narrative and budget have also been updated to reflect the split between this project and Emerging Issues 2022-307. The original proposal included the combination of this current version and Emerging Issues (2022-307).</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Tiffany Wolf, Stuart Lichtenberg</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12fe2c8a-726.pdf" TargetMode="External"/><Relationship Id="rId13" Type="http://schemas.openxmlformats.org/officeDocument/2006/relationships/hyperlink" Target="https://lccmrprojectmgmt.leg.mn/media/attachments/9841e9c8-135.pdf" TargetMode="External"/><Relationship Id="rId14" Type="http://schemas.openxmlformats.org/officeDocument/2006/relationships/hyperlink" Target="https://lccmrprojectmgmt.leg.mn/media/attachments/67c21abd-d69.pdf" TargetMode="External"/><Relationship Id="rId15" Type="http://schemas.openxmlformats.org/officeDocument/2006/relationships/hyperlink" Target="https://lccmrprojectmgmt.leg.mn/media/attachments/e97fe457-f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Chronic Wasting Disease Prions in Minnesota Waters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